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2E" w:rsidRPr="003831A7" w:rsidRDefault="00902F2E" w:rsidP="00902F2E">
      <w:pPr>
        <w:jc w:val="center"/>
        <w:rPr>
          <w:rFonts w:cstheme="minorHAnsi"/>
        </w:rPr>
      </w:pPr>
      <w:r w:rsidRPr="003831A7">
        <w:rPr>
          <w:rFonts w:cstheme="minorHAnsi"/>
        </w:rPr>
        <w:t>SMALL PUBLIC WATER SYSTEMS IN THE 21</w:t>
      </w:r>
      <w:r w:rsidRPr="003831A7">
        <w:rPr>
          <w:rFonts w:cstheme="minorHAnsi"/>
          <w:vertAlign w:val="superscript"/>
        </w:rPr>
        <w:t>st</w:t>
      </w:r>
      <w:r w:rsidRPr="003831A7">
        <w:rPr>
          <w:rFonts w:cstheme="minorHAnsi"/>
        </w:rPr>
        <w:t xml:space="preserve"> CENTURY</w:t>
      </w:r>
    </w:p>
    <w:p w:rsidR="00902F2E" w:rsidRPr="003831A7" w:rsidRDefault="00902F2E" w:rsidP="00902F2E">
      <w:pPr>
        <w:jc w:val="center"/>
        <w:rPr>
          <w:rFonts w:cstheme="minorHAnsi"/>
        </w:rPr>
      </w:pPr>
      <w:r w:rsidRPr="003831A7">
        <w:rPr>
          <w:rFonts w:cstheme="minorHAnsi"/>
        </w:rPr>
        <w:t>An Examination of the Changing Demographics of Small and Rural Water Systems As Reflected in the USEPA 2010 SDWIS Database</w:t>
      </w:r>
    </w:p>
    <w:p w:rsidR="00902F2E" w:rsidRPr="003831A7" w:rsidRDefault="00902F2E" w:rsidP="00902F2E">
      <w:pPr>
        <w:jc w:val="center"/>
        <w:rPr>
          <w:rFonts w:cstheme="minorHAnsi"/>
        </w:rPr>
      </w:pPr>
      <w:r w:rsidRPr="003831A7">
        <w:rPr>
          <w:rFonts w:cstheme="minorHAnsi"/>
        </w:rPr>
        <w:t>By</w:t>
      </w:r>
    </w:p>
    <w:p w:rsidR="00902F2E" w:rsidRDefault="00902F2E" w:rsidP="00902F2E">
      <w:pPr>
        <w:jc w:val="center"/>
        <w:rPr>
          <w:rFonts w:cstheme="minorHAnsi"/>
        </w:rPr>
      </w:pPr>
      <w:r w:rsidRPr="003831A7">
        <w:rPr>
          <w:rFonts w:cstheme="minorHAnsi"/>
        </w:rPr>
        <w:t>John E. Regnier, National Rural Water Association</w:t>
      </w:r>
    </w:p>
    <w:p w:rsidR="00902F2E" w:rsidRDefault="00902F2E" w:rsidP="00902F2E">
      <w:pPr>
        <w:rPr>
          <w:rFonts w:cstheme="minorHAnsi"/>
        </w:rPr>
      </w:pPr>
      <w:r w:rsidRPr="00902F2E">
        <w:rPr>
          <w:rFonts w:cstheme="minorHAnsi"/>
          <w:b/>
          <w:u w:val="single"/>
        </w:rPr>
        <w:t>Executive Summary</w:t>
      </w:r>
    </w:p>
    <w:p w:rsidR="00902F2E" w:rsidRDefault="00902F2E" w:rsidP="00902F2E">
      <w:pPr>
        <w:rPr>
          <w:rFonts w:cstheme="minorHAnsi"/>
        </w:rPr>
      </w:pPr>
      <w:r>
        <w:rPr>
          <w:rFonts w:cstheme="minorHAnsi"/>
        </w:rPr>
        <w:t>The USEPA 2010 SDWIS Pivot Tables were used to develop a 50-state database from which values for selected small system demographics were estimated.  These data show that small systems serve an average of up to a quarter of the US population that is provided public drinking water and in many states 50% or more of the population.  These systems have grown markedly in size, complexity, and sophistication, serving an average of about 500 meters or 1,300 to 1,500 people.</w:t>
      </w:r>
    </w:p>
    <w:p w:rsidR="00902F2E" w:rsidRDefault="00902F2E" w:rsidP="00902F2E">
      <w:pPr>
        <w:rPr>
          <w:rFonts w:cstheme="minorHAnsi"/>
        </w:rPr>
      </w:pPr>
      <w:r>
        <w:rPr>
          <w:rFonts w:cstheme="minorHAnsi"/>
        </w:rPr>
        <w:t>These changes have numerous impacts and implications including:</w:t>
      </w:r>
    </w:p>
    <w:p w:rsidR="00902F2E" w:rsidRDefault="00902F2E" w:rsidP="00902F2E">
      <w:pPr>
        <w:pStyle w:val="ListParagraph"/>
        <w:numPr>
          <w:ilvl w:val="0"/>
          <w:numId w:val="12"/>
        </w:numPr>
        <w:spacing w:line="240" w:lineRule="auto"/>
        <w:rPr>
          <w:rFonts w:cstheme="minorHAnsi"/>
        </w:rPr>
      </w:pPr>
      <w:r>
        <w:rPr>
          <w:rFonts w:cstheme="minorHAnsi"/>
        </w:rPr>
        <w:t>Small systems should be considered as playing a significant and vital role nationally and in some states a predominant role in the provision of drinking water to the US population.</w:t>
      </w:r>
    </w:p>
    <w:p w:rsidR="00902F2E" w:rsidRDefault="00902F2E" w:rsidP="00902F2E">
      <w:pPr>
        <w:pStyle w:val="ListParagraph"/>
        <w:numPr>
          <w:ilvl w:val="0"/>
          <w:numId w:val="12"/>
        </w:numPr>
        <w:spacing w:line="240" w:lineRule="auto"/>
        <w:rPr>
          <w:rFonts w:cstheme="minorHAnsi"/>
        </w:rPr>
      </w:pPr>
      <w:r>
        <w:rPr>
          <w:rFonts w:cstheme="minorHAnsi"/>
        </w:rPr>
        <w:t>Organizations that support the small system community may need to revise programs like training efforts to recognize the increasing size and accompanying sophistication of small systems.</w:t>
      </w:r>
    </w:p>
    <w:p w:rsidR="00902F2E" w:rsidRDefault="00902F2E" w:rsidP="00902F2E">
      <w:pPr>
        <w:pStyle w:val="ListParagraph"/>
        <w:numPr>
          <w:ilvl w:val="0"/>
          <w:numId w:val="12"/>
        </w:numPr>
        <w:spacing w:line="240" w:lineRule="auto"/>
        <w:rPr>
          <w:rFonts w:cstheme="minorHAnsi"/>
        </w:rPr>
      </w:pPr>
      <w:r>
        <w:rPr>
          <w:rFonts w:cstheme="minorHAnsi"/>
        </w:rPr>
        <w:t>Programs such as capacity development</w:t>
      </w:r>
      <w:r w:rsidR="0087736A">
        <w:rPr>
          <w:rFonts w:cstheme="minorHAnsi"/>
        </w:rPr>
        <w:t xml:space="preserve"> based on the assumption that small systems in general are too small to be economically and operationally viable cannot be supported by current demographic data. </w:t>
      </w:r>
    </w:p>
    <w:p w:rsidR="00902F2E" w:rsidRPr="00FB3597" w:rsidRDefault="00902F2E" w:rsidP="00902F2E">
      <w:pPr>
        <w:pStyle w:val="ListParagraph"/>
        <w:numPr>
          <w:ilvl w:val="0"/>
          <w:numId w:val="12"/>
        </w:numPr>
        <w:spacing w:line="240" w:lineRule="auto"/>
        <w:rPr>
          <w:rFonts w:cstheme="minorHAnsi"/>
        </w:rPr>
      </w:pPr>
      <w:r>
        <w:rPr>
          <w:rFonts w:cstheme="minorHAnsi"/>
        </w:rPr>
        <w:t>Actions that affect small systems should be flexible enough to permit adjustment to fit local conditions recognizing the wide variation in system characteristics from one state to another.</w:t>
      </w:r>
    </w:p>
    <w:p w:rsidR="00902F2E" w:rsidRDefault="00902F2E" w:rsidP="00902F2E">
      <w:pPr>
        <w:spacing w:line="240" w:lineRule="auto"/>
        <w:rPr>
          <w:rFonts w:cstheme="minorHAnsi"/>
        </w:rPr>
      </w:pPr>
    </w:p>
    <w:p w:rsidR="00902F2E" w:rsidRDefault="00902F2E" w:rsidP="00902F2E">
      <w:pPr>
        <w:rPr>
          <w:rFonts w:cstheme="minorHAnsi"/>
          <w:u w:val="single"/>
        </w:rPr>
      </w:pPr>
      <w:r w:rsidRPr="00902F2E">
        <w:rPr>
          <w:rFonts w:cstheme="minorHAnsi"/>
          <w:u w:val="single"/>
        </w:rPr>
        <w:br w:type="page"/>
      </w:r>
    </w:p>
    <w:p w:rsidR="00902F2E" w:rsidRPr="00902F2E" w:rsidRDefault="00902F2E" w:rsidP="00902F2E">
      <w:pPr>
        <w:rPr>
          <w:rFonts w:cstheme="minorHAnsi"/>
          <w:u w:val="single"/>
        </w:rPr>
      </w:pPr>
    </w:p>
    <w:p w:rsidR="00135FC1" w:rsidRPr="003831A7" w:rsidRDefault="00135FC1" w:rsidP="00135FC1">
      <w:pPr>
        <w:jc w:val="center"/>
        <w:rPr>
          <w:rFonts w:cstheme="minorHAnsi"/>
        </w:rPr>
      </w:pPr>
      <w:r w:rsidRPr="003831A7">
        <w:rPr>
          <w:rFonts w:cstheme="minorHAnsi"/>
        </w:rPr>
        <w:t>SMALL PUBLIC WATER SYSTEMS IN THE 21</w:t>
      </w:r>
      <w:r w:rsidRPr="003831A7">
        <w:rPr>
          <w:rFonts w:cstheme="minorHAnsi"/>
          <w:vertAlign w:val="superscript"/>
        </w:rPr>
        <w:t>st</w:t>
      </w:r>
      <w:r w:rsidRPr="003831A7">
        <w:rPr>
          <w:rFonts w:cstheme="minorHAnsi"/>
        </w:rPr>
        <w:t xml:space="preserve"> CENTURY</w:t>
      </w:r>
    </w:p>
    <w:p w:rsidR="00135FC1" w:rsidRPr="003831A7" w:rsidRDefault="00135FC1" w:rsidP="00135FC1">
      <w:pPr>
        <w:jc w:val="center"/>
        <w:rPr>
          <w:rFonts w:cstheme="minorHAnsi"/>
        </w:rPr>
      </w:pPr>
      <w:r w:rsidRPr="003831A7">
        <w:rPr>
          <w:rFonts w:cstheme="minorHAnsi"/>
        </w:rPr>
        <w:t>An Examination of the Changing Demographics of Small and Rural Water Systems As Reflected in the USEPA 2010 SDWIS Database</w:t>
      </w:r>
    </w:p>
    <w:p w:rsidR="00135FC1" w:rsidRPr="003831A7" w:rsidRDefault="00135FC1" w:rsidP="00135FC1">
      <w:pPr>
        <w:jc w:val="center"/>
        <w:rPr>
          <w:rFonts w:cstheme="minorHAnsi"/>
        </w:rPr>
      </w:pPr>
      <w:r w:rsidRPr="003831A7">
        <w:rPr>
          <w:rFonts w:cstheme="minorHAnsi"/>
        </w:rPr>
        <w:t>By</w:t>
      </w:r>
    </w:p>
    <w:p w:rsidR="00135FC1" w:rsidRPr="003831A7" w:rsidRDefault="00135FC1" w:rsidP="00135FC1">
      <w:pPr>
        <w:jc w:val="center"/>
        <w:rPr>
          <w:rFonts w:cstheme="minorHAnsi"/>
        </w:rPr>
      </w:pPr>
      <w:r w:rsidRPr="003831A7">
        <w:rPr>
          <w:rFonts w:cstheme="minorHAnsi"/>
        </w:rPr>
        <w:t>John E. Regnier, National Rural Water Association</w:t>
      </w:r>
    </w:p>
    <w:p w:rsidR="00135FC1" w:rsidRPr="003831A7" w:rsidRDefault="00135FC1" w:rsidP="00135FC1">
      <w:pPr>
        <w:jc w:val="center"/>
        <w:rPr>
          <w:rFonts w:cstheme="minorHAnsi"/>
        </w:rPr>
      </w:pPr>
    </w:p>
    <w:p w:rsidR="00135FC1" w:rsidRPr="003831A7" w:rsidRDefault="00135FC1" w:rsidP="00135FC1">
      <w:pPr>
        <w:rPr>
          <w:rFonts w:cstheme="minorHAnsi"/>
        </w:rPr>
      </w:pPr>
      <w:r w:rsidRPr="003831A7">
        <w:rPr>
          <w:rFonts w:cstheme="minorHAnsi"/>
        </w:rPr>
        <w:t>The proliferation of small and rural public water systems in the United States can probably be traced back as far as the USDA Water Facilities loan program established in 1937, with the first loan made in 1940 (</w:t>
      </w:r>
      <w:r w:rsidR="008465B0">
        <w:rPr>
          <w:rFonts w:cstheme="minorHAnsi"/>
        </w:rPr>
        <w:t>Bowman, 2004</w:t>
      </w:r>
      <w:r w:rsidRPr="003831A7">
        <w:rPr>
          <w:rFonts w:cstheme="minorHAnsi"/>
        </w:rPr>
        <w:t>). However, the real explosion in numbers of these systems began in the 1960s and continues today so that currently there are in excess of 40,000 community water systems serving less than 10,000 people per system. All of these systems as well as their larger counterparts and many non-community systems fall under the purview of the national Safe Drinking Water Act (SDWA) administered by the United States Environmental Protection Agency (USEPA) which has delegated implementation to the states unless the state has refused to accept this responsibility (primacy), Wyoming and the District of Columbia being the only entities that haven’t accepted primacy.</w:t>
      </w:r>
    </w:p>
    <w:p w:rsidR="00135FC1" w:rsidRPr="003831A7" w:rsidRDefault="00135FC1" w:rsidP="00135FC1">
      <w:pPr>
        <w:rPr>
          <w:rFonts w:cstheme="minorHAnsi"/>
        </w:rPr>
      </w:pPr>
      <w:r w:rsidRPr="003831A7">
        <w:rPr>
          <w:rFonts w:cstheme="minorHAnsi"/>
        </w:rPr>
        <w:t>At the time of their initial development, these small utilities typically served relatively</w:t>
      </w:r>
      <w:r w:rsidR="00B80EC5">
        <w:rPr>
          <w:rFonts w:cstheme="minorHAnsi"/>
        </w:rPr>
        <w:t xml:space="preserve"> few households, but the usual</w:t>
      </w:r>
      <w:r w:rsidRPr="003831A7">
        <w:rPr>
          <w:rFonts w:cstheme="minorHAnsi"/>
        </w:rPr>
        <w:t xml:space="preserve"> pattern of development has been rather rapid expansion of these systems as consumers became aware of the availability of “city water” in areas heretofore supplied only by private wells and government sources of funding to support development and expansion of these systems increased. Unfortunately, early concepts about the size, capabilities, and perhaps importance of these small systems have tended to carry over to current times although not necessarily supported by the facts. For example, anyone who has spent significant time associated with the small system segment of the public water supply industry has probably heard or read statements to the effect that small systems serve only 10% of the population but account for 90% of the systems in the country.  However, </w:t>
      </w:r>
      <w:r w:rsidR="004C7F1F">
        <w:rPr>
          <w:rFonts w:cstheme="minorHAnsi"/>
        </w:rPr>
        <w:t xml:space="preserve">professionals </w:t>
      </w:r>
      <w:r w:rsidRPr="003831A7">
        <w:rPr>
          <w:rFonts w:cstheme="minorHAnsi"/>
        </w:rPr>
        <w:t xml:space="preserve"> fami</w:t>
      </w:r>
      <w:r w:rsidR="004C7F1F">
        <w:rPr>
          <w:rFonts w:cstheme="minorHAnsi"/>
        </w:rPr>
        <w:t>liar with small water systems are</w:t>
      </w:r>
      <w:r w:rsidRPr="003831A7">
        <w:rPr>
          <w:rFonts w:cstheme="minorHAnsi"/>
        </w:rPr>
        <w:t xml:space="preserve"> aware that many of them have undergone rapid increases in size since their original formation. Those with</w:t>
      </w:r>
      <w:r w:rsidR="00B80EC5">
        <w:rPr>
          <w:rFonts w:cstheme="minorHAnsi"/>
        </w:rPr>
        <w:t xml:space="preserve"> initial customer bases in the 100 to 200</w:t>
      </w:r>
      <w:r w:rsidRPr="003831A7">
        <w:rPr>
          <w:rFonts w:cstheme="minorHAnsi"/>
        </w:rPr>
        <w:t xml:space="preserve"> hundred meter </w:t>
      </w:r>
      <w:r w:rsidR="00B80EC5">
        <w:rPr>
          <w:rFonts w:cstheme="minorHAnsi"/>
        </w:rPr>
        <w:t xml:space="preserve">range </w:t>
      </w:r>
      <w:r w:rsidRPr="003831A7">
        <w:rPr>
          <w:rFonts w:cstheme="minorHAnsi"/>
        </w:rPr>
        <w:t>frequently now serve several thousand households. This general knowledge among professionals suggests the need for a quantitative assessment of the current demographics of these systems and hence, the purpose of this paper.</w:t>
      </w:r>
    </w:p>
    <w:p w:rsidR="00135FC1" w:rsidRPr="003831A7" w:rsidRDefault="00135FC1" w:rsidP="00135FC1">
      <w:pPr>
        <w:rPr>
          <w:rFonts w:cstheme="minorHAnsi"/>
        </w:rPr>
      </w:pPr>
      <w:r w:rsidRPr="003831A7">
        <w:rPr>
          <w:rFonts w:cstheme="minorHAnsi"/>
        </w:rPr>
        <w:t>Fortunately, the USEPA has for many years maintained a massive computerized record of pertinent information concerning the performance and nature of the water systems regulated by the SDWA. This information resource, the Safe Drinking Water Information System (SDWIS) is available for dow</w:t>
      </w:r>
      <w:r w:rsidR="00B80EC5">
        <w:rPr>
          <w:rFonts w:cstheme="minorHAnsi"/>
        </w:rPr>
        <w:t>nload through pivot tables beginning with</w:t>
      </w:r>
      <w:r w:rsidRPr="003831A7">
        <w:rPr>
          <w:rFonts w:cstheme="minorHAnsi"/>
        </w:rPr>
        <w:t xml:space="preserve"> 1998</w:t>
      </w:r>
      <w:r w:rsidR="004C7F1F">
        <w:rPr>
          <w:rFonts w:cstheme="minorHAnsi"/>
        </w:rPr>
        <w:t xml:space="preserve"> (USEPA Website 1)</w:t>
      </w:r>
      <w:r w:rsidRPr="003831A7">
        <w:rPr>
          <w:rFonts w:cstheme="minorHAnsi"/>
        </w:rPr>
        <w:t>.  It has been well known for some time that because of the multiple sources for the basic data and the large numbers of entries, this information may contain inaccuracies. In fact, the EPA states in its web site “</w:t>
      </w:r>
      <w:r w:rsidRPr="003831A7">
        <w:rPr>
          <w:rStyle w:val="Strong"/>
          <w:rFonts w:cstheme="minorHAnsi"/>
        </w:rPr>
        <w:t>NOTICE:</w:t>
      </w:r>
      <w:r w:rsidRPr="003831A7">
        <w:rPr>
          <w:rFonts w:cstheme="minorHAnsi"/>
        </w:rPr>
        <w:t xml:space="preserve"> EPA is aware of inaccuracies and underreporting of some data in the Safe Drinking Water Information System. We are working with the states to improve the quality of the data.” These inaccuracies will be discussed further in this r</w:t>
      </w:r>
      <w:r w:rsidR="00B80EC5">
        <w:rPr>
          <w:rFonts w:cstheme="minorHAnsi"/>
        </w:rPr>
        <w:t xml:space="preserve">eport, </w:t>
      </w:r>
      <w:r w:rsidR="00B80EC5">
        <w:rPr>
          <w:rFonts w:cstheme="minorHAnsi"/>
        </w:rPr>
        <w:lastRenderedPageBreak/>
        <w:t>but it is felt that such</w:t>
      </w:r>
      <w:r w:rsidRPr="003831A7">
        <w:rPr>
          <w:rFonts w:cstheme="minorHAnsi"/>
        </w:rPr>
        <w:t xml:space="preserve"> uncertainties don’t preclude the </w:t>
      </w:r>
      <w:r w:rsidR="00B80EC5">
        <w:rPr>
          <w:rFonts w:cstheme="minorHAnsi"/>
        </w:rPr>
        <w:t>use of the data to provide usable</w:t>
      </w:r>
      <w:r w:rsidRPr="003831A7">
        <w:rPr>
          <w:rFonts w:cstheme="minorHAnsi"/>
        </w:rPr>
        <w:t xml:space="preserve"> estimates of general trends and the SDWIS/Fed Pivot Tables for 2010 provide the quantitative information that is the basis for this paper.</w:t>
      </w:r>
    </w:p>
    <w:p w:rsidR="00135FC1" w:rsidRPr="003831A7" w:rsidRDefault="00135FC1" w:rsidP="00135FC1">
      <w:pPr>
        <w:rPr>
          <w:rFonts w:cstheme="minorHAnsi"/>
        </w:rPr>
      </w:pPr>
      <w:r w:rsidRPr="003831A7">
        <w:rPr>
          <w:rFonts w:cstheme="minorHAnsi"/>
        </w:rPr>
        <w:t>Specifically, the purpose of thi</w:t>
      </w:r>
      <w:r w:rsidR="00DF6812">
        <w:rPr>
          <w:rFonts w:cstheme="minorHAnsi"/>
        </w:rPr>
        <w:t>s paper is to document selected</w:t>
      </w:r>
      <w:r w:rsidRPr="003831A7">
        <w:rPr>
          <w:rFonts w:cstheme="minorHAnsi"/>
        </w:rPr>
        <w:t xml:space="preserve"> demographic parameters of small public water systems serving less than 10,000 people, indicate how these characteristics have changed with time, and assess the impact of these changed demographics on regulatory and other actions pertinent to small drinking water systems.</w:t>
      </w:r>
    </w:p>
    <w:p w:rsidR="00135FC1" w:rsidRPr="003831A7" w:rsidRDefault="00135FC1" w:rsidP="00135FC1">
      <w:pPr>
        <w:rPr>
          <w:rFonts w:cstheme="minorHAnsi"/>
          <w:b/>
          <w:u w:val="single"/>
        </w:rPr>
      </w:pPr>
      <w:r w:rsidRPr="003831A7">
        <w:rPr>
          <w:rFonts w:cstheme="minorHAnsi"/>
          <w:b/>
          <w:u w:val="single"/>
        </w:rPr>
        <w:t>Methods</w:t>
      </w:r>
    </w:p>
    <w:p w:rsidR="00834463" w:rsidRPr="003831A7" w:rsidRDefault="00135FC1">
      <w:pPr>
        <w:rPr>
          <w:rFonts w:ascii="Lucida Sans Unicode" w:hAnsi="Lucida Sans Unicode" w:cs="Lucida Sans Unicode"/>
          <w:sz w:val="18"/>
          <w:szCs w:val="18"/>
        </w:rPr>
      </w:pPr>
      <w:r w:rsidRPr="003831A7">
        <w:rPr>
          <w:rFonts w:cstheme="minorHAnsi"/>
        </w:rPr>
        <w:t>Beginning with 2010 water system data, it became possible using USEPA SDWIS pivot tables to access individual water system information at the state level. The advent of Microsoft Excel 2007 with its increased data handling capability made it possible to create state-by-state databases using summary information from the pivot tables.</w:t>
      </w:r>
      <w:r w:rsidR="009D336C" w:rsidRPr="003831A7">
        <w:rPr>
          <w:rFonts w:cstheme="minorHAnsi"/>
        </w:rPr>
        <w:t xml:space="preserve"> This was done with the 2010 Public Water System Inventory Data</w:t>
      </w:r>
      <w:r w:rsidR="007C52F0" w:rsidRPr="003831A7">
        <w:rPr>
          <w:rFonts w:cstheme="minorHAnsi"/>
        </w:rPr>
        <w:t xml:space="preserve"> pivot table</w:t>
      </w:r>
      <w:r w:rsidR="009D336C" w:rsidRPr="003831A7">
        <w:rPr>
          <w:rFonts w:cstheme="minorHAnsi"/>
        </w:rPr>
        <w:t xml:space="preserve"> in which state data are embedded by EPA Region</w:t>
      </w:r>
      <w:r w:rsidR="007C52F0" w:rsidRPr="003831A7">
        <w:rPr>
          <w:rFonts w:cstheme="minorHAnsi"/>
        </w:rPr>
        <w:t>. A 50-stat</w:t>
      </w:r>
      <w:r w:rsidR="00835024" w:rsidRPr="003831A7">
        <w:rPr>
          <w:rFonts w:cstheme="minorHAnsi"/>
        </w:rPr>
        <w:t xml:space="preserve">e database was created with 16 fields related to system identification and characteristics plus </w:t>
      </w:r>
      <w:r w:rsidR="00DF6812">
        <w:rPr>
          <w:rFonts w:cstheme="minorHAnsi"/>
        </w:rPr>
        <w:t xml:space="preserve">additional fields providing </w:t>
      </w:r>
      <w:r w:rsidR="00835024" w:rsidRPr="003831A7">
        <w:rPr>
          <w:rFonts w:cstheme="minorHAnsi"/>
        </w:rPr>
        <w:t>contact information for each system in each state.</w:t>
      </w:r>
      <w:r w:rsidR="008B2E41" w:rsidRPr="003831A7">
        <w:rPr>
          <w:rFonts w:cstheme="minorHAnsi"/>
        </w:rPr>
        <w:t xml:space="preserve"> In addition, a summary database was generated containing </w:t>
      </w:r>
      <w:r w:rsidR="004C7F1F">
        <w:rPr>
          <w:rFonts w:cstheme="minorHAnsi"/>
        </w:rPr>
        <w:t>summary</w:t>
      </w:r>
      <w:r w:rsidR="008B2E41" w:rsidRPr="003831A7">
        <w:rPr>
          <w:rFonts w:cstheme="minorHAnsi"/>
        </w:rPr>
        <w:t xml:space="preserve"> information </w:t>
      </w:r>
      <w:r w:rsidR="004C7F1F">
        <w:rPr>
          <w:rFonts w:cstheme="minorHAnsi"/>
        </w:rPr>
        <w:t xml:space="preserve">for each state </w:t>
      </w:r>
      <w:r w:rsidR="008B2E41" w:rsidRPr="003831A7">
        <w:rPr>
          <w:rFonts w:cstheme="minorHAnsi"/>
        </w:rPr>
        <w:t>related primarily to</w:t>
      </w:r>
      <w:r w:rsidR="004C7F1F">
        <w:rPr>
          <w:rFonts w:cstheme="minorHAnsi"/>
        </w:rPr>
        <w:t xml:space="preserve"> system</w:t>
      </w:r>
      <w:r w:rsidR="008B2E41" w:rsidRPr="003831A7">
        <w:rPr>
          <w:rFonts w:cstheme="minorHAnsi"/>
        </w:rPr>
        <w:t xml:space="preserve"> size and population served as</w:t>
      </w:r>
      <w:r w:rsidR="001B09F1" w:rsidRPr="003831A7">
        <w:rPr>
          <w:rFonts w:cstheme="minorHAnsi"/>
        </w:rPr>
        <w:t xml:space="preserve"> detailed in the following listing</w:t>
      </w:r>
      <w:r w:rsidR="008B2E41" w:rsidRPr="003831A7">
        <w:rPr>
          <w:rFonts w:ascii="Lucida Sans Unicode" w:hAnsi="Lucida Sans Unicode" w:cs="Lucida Sans Unicode"/>
          <w:sz w:val="18"/>
          <w:szCs w:val="18"/>
        </w:rPr>
        <w:t>.</w:t>
      </w:r>
    </w:p>
    <w:p w:rsidR="003C725A" w:rsidRPr="00181777" w:rsidRDefault="003C725A" w:rsidP="00652E6F">
      <w:pPr>
        <w:spacing w:line="240" w:lineRule="auto"/>
        <w:rPr>
          <w:rFonts w:cstheme="minorHAnsi"/>
          <w:sz w:val="18"/>
          <w:szCs w:val="18"/>
        </w:rPr>
      </w:pPr>
      <w:r w:rsidRPr="00181777">
        <w:rPr>
          <w:rFonts w:cstheme="minorHAnsi"/>
          <w:sz w:val="18"/>
          <w:szCs w:val="18"/>
        </w:rPr>
        <w:t>2010 Census Population</w:t>
      </w:r>
    </w:p>
    <w:p w:rsidR="001B09F1" w:rsidRPr="00181777" w:rsidRDefault="00DF6812" w:rsidP="00652E6F">
      <w:pPr>
        <w:spacing w:line="240" w:lineRule="auto"/>
        <w:rPr>
          <w:rFonts w:cstheme="minorHAnsi"/>
          <w:sz w:val="18"/>
          <w:szCs w:val="18"/>
        </w:rPr>
      </w:pPr>
      <w:r w:rsidRPr="00181777">
        <w:rPr>
          <w:rFonts w:cstheme="minorHAnsi"/>
          <w:sz w:val="18"/>
          <w:szCs w:val="18"/>
        </w:rPr>
        <w:t>Ratio CWS Population S</w:t>
      </w:r>
      <w:r w:rsidR="001B09F1" w:rsidRPr="00181777">
        <w:rPr>
          <w:rFonts w:cstheme="minorHAnsi"/>
          <w:sz w:val="18"/>
          <w:szCs w:val="18"/>
        </w:rPr>
        <w:t>erved to 2010 Census Population (sums)</w:t>
      </w:r>
    </w:p>
    <w:p w:rsidR="001B09F1" w:rsidRPr="00181777" w:rsidRDefault="00DF6812" w:rsidP="00652E6F">
      <w:pPr>
        <w:spacing w:line="240" w:lineRule="auto"/>
        <w:rPr>
          <w:rFonts w:cstheme="minorHAnsi"/>
          <w:sz w:val="18"/>
          <w:szCs w:val="18"/>
        </w:rPr>
      </w:pPr>
      <w:r w:rsidRPr="00181777">
        <w:rPr>
          <w:rFonts w:cstheme="minorHAnsi"/>
          <w:sz w:val="18"/>
          <w:szCs w:val="18"/>
        </w:rPr>
        <w:t>Ratio CWS Under 10,000 Population S</w:t>
      </w:r>
      <w:r w:rsidR="001B09F1" w:rsidRPr="00181777">
        <w:rPr>
          <w:rFonts w:cstheme="minorHAnsi"/>
          <w:sz w:val="18"/>
          <w:szCs w:val="18"/>
        </w:rPr>
        <w:t>erved to 2010 Census Population (sums)</w:t>
      </w:r>
    </w:p>
    <w:p w:rsidR="00B91A4D" w:rsidRPr="00181777" w:rsidRDefault="00DF6812" w:rsidP="00652E6F">
      <w:pPr>
        <w:spacing w:line="240" w:lineRule="auto"/>
        <w:rPr>
          <w:rFonts w:cstheme="minorHAnsi"/>
          <w:sz w:val="18"/>
          <w:szCs w:val="18"/>
        </w:rPr>
      </w:pPr>
      <w:r w:rsidRPr="00181777">
        <w:rPr>
          <w:rFonts w:cstheme="minorHAnsi"/>
          <w:sz w:val="18"/>
          <w:szCs w:val="18"/>
        </w:rPr>
        <w:t>Ratio CWS Population S</w:t>
      </w:r>
      <w:r w:rsidR="00B91A4D" w:rsidRPr="00181777">
        <w:rPr>
          <w:rFonts w:cstheme="minorHAnsi"/>
          <w:sz w:val="18"/>
          <w:szCs w:val="18"/>
        </w:rPr>
        <w:t>erved to 2010 Census Population (calcs)</w:t>
      </w:r>
    </w:p>
    <w:p w:rsidR="00B91A4D" w:rsidRPr="00181777" w:rsidRDefault="00DF6812" w:rsidP="00652E6F">
      <w:pPr>
        <w:spacing w:line="240" w:lineRule="auto"/>
        <w:rPr>
          <w:rFonts w:cstheme="minorHAnsi"/>
          <w:sz w:val="18"/>
          <w:szCs w:val="18"/>
        </w:rPr>
      </w:pPr>
      <w:r w:rsidRPr="00181777">
        <w:rPr>
          <w:rFonts w:cstheme="minorHAnsi"/>
          <w:sz w:val="18"/>
          <w:szCs w:val="18"/>
        </w:rPr>
        <w:t>Ratio CWS Under 10,000 Population S</w:t>
      </w:r>
      <w:r w:rsidR="00B91A4D" w:rsidRPr="00181777">
        <w:rPr>
          <w:rFonts w:cstheme="minorHAnsi"/>
          <w:sz w:val="18"/>
          <w:szCs w:val="18"/>
        </w:rPr>
        <w:t>erved to 2010 Census Population (calcs)</w:t>
      </w:r>
    </w:p>
    <w:p w:rsidR="00B91A4D" w:rsidRPr="00181777" w:rsidRDefault="00DF6812" w:rsidP="00652E6F">
      <w:pPr>
        <w:spacing w:line="240" w:lineRule="auto"/>
        <w:rPr>
          <w:rFonts w:cstheme="minorHAnsi"/>
          <w:sz w:val="18"/>
          <w:szCs w:val="18"/>
        </w:rPr>
      </w:pPr>
      <w:r w:rsidRPr="00181777">
        <w:rPr>
          <w:rFonts w:cstheme="minorHAnsi"/>
          <w:sz w:val="18"/>
          <w:szCs w:val="18"/>
        </w:rPr>
        <w:t>Population S</w:t>
      </w:r>
      <w:r w:rsidR="00B91A4D" w:rsidRPr="00181777">
        <w:rPr>
          <w:rFonts w:cstheme="minorHAnsi"/>
          <w:sz w:val="18"/>
          <w:szCs w:val="18"/>
        </w:rPr>
        <w:t>erved</w:t>
      </w:r>
      <w:r w:rsidRPr="00181777">
        <w:rPr>
          <w:rFonts w:cstheme="minorHAnsi"/>
          <w:sz w:val="18"/>
          <w:szCs w:val="18"/>
        </w:rPr>
        <w:t xml:space="preserve"> by</w:t>
      </w:r>
      <w:r w:rsidR="00B91A4D" w:rsidRPr="00181777">
        <w:rPr>
          <w:rFonts w:cstheme="minorHAnsi"/>
          <w:sz w:val="18"/>
          <w:szCs w:val="18"/>
        </w:rPr>
        <w:t xml:space="preserve"> CWS (sum)</w:t>
      </w:r>
    </w:p>
    <w:p w:rsidR="00B91A4D" w:rsidRPr="00181777" w:rsidRDefault="00DF6812" w:rsidP="00652E6F">
      <w:pPr>
        <w:spacing w:line="240" w:lineRule="auto"/>
        <w:rPr>
          <w:rFonts w:cstheme="minorHAnsi"/>
          <w:sz w:val="18"/>
          <w:szCs w:val="18"/>
        </w:rPr>
      </w:pPr>
      <w:r w:rsidRPr="00181777">
        <w:rPr>
          <w:rFonts w:cstheme="minorHAnsi"/>
          <w:sz w:val="18"/>
          <w:szCs w:val="18"/>
        </w:rPr>
        <w:t>Meters S</w:t>
      </w:r>
      <w:r w:rsidR="00B91A4D" w:rsidRPr="00181777">
        <w:rPr>
          <w:rFonts w:cstheme="minorHAnsi"/>
          <w:sz w:val="18"/>
          <w:szCs w:val="18"/>
        </w:rPr>
        <w:t xml:space="preserve">erved </w:t>
      </w:r>
      <w:r w:rsidRPr="00181777">
        <w:rPr>
          <w:rFonts w:cstheme="minorHAnsi"/>
          <w:sz w:val="18"/>
          <w:szCs w:val="18"/>
        </w:rPr>
        <w:t xml:space="preserve">by </w:t>
      </w:r>
      <w:r w:rsidR="00B91A4D" w:rsidRPr="00181777">
        <w:rPr>
          <w:rFonts w:cstheme="minorHAnsi"/>
          <w:sz w:val="18"/>
          <w:szCs w:val="18"/>
        </w:rPr>
        <w:t>CWS</w:t>
      </w:r>
    </w:p>
    <w:p w:rsidR="001B09F1" w:rsidRPr="00181777" w:rsidRDefault="00DF6812" w:rsidP="00652E6F">
      <w:pPr>
        <w:spacing w:line="240" w:lineRule="auto"/>
        <w:rPr>
          <w:rFonts w:cstheme="minorHAnsi"/>
          <w:sz w:val="18"/>
          <w:szCs w:val="18"/>
        </w:rPr>
      </w:pPr>
      <w:r w:rsidRPr="00181777">
        <w:rPr>
          <w:rFonts w:cstheme="minorHAnsi"/>
          <w:sz w:val="18"/>
          <w:szCs w:val="18"/>
        </w:rPr>
        <w:t>Population S</w:t>
      </w:r>
      <w:r w:rsidR="00B91A4D" w:rsidRPr="00181777">
        <w:rPr>
          <w:rFonts w:cstheme="minorHAnsi"/>
          <w:sz w:val="18"/>
          <w:szCs w:val="18"/>
        </w:rPr>
        <w:t>erved by CWS (calc)</w:t>
      </w:r>
      <w:r w:rsidRPr="00181777">
        <w:rPr>
          <w:rFonts w:cstheme="minorHAnsi"/>
          <w:sz w:val="18"/>
          <w:szCs w:val="18"/>
        </w:rPr>
        <w:t xml:space="preserve"> - Average Household Size Times M</w:t>
      </w:r>
      <w:r w:rsidR="00B91A4D" w:rsidRPr="00181777">
        <w:rPr>
          <w:rFonts w:cstheme="minorHAnsi"/>
          <w:sz w:val="18"/>
          <w:szCs w:val="18"/>
        </w:rPr>
        <w:t>eters</w:t>
      </w:r>
    </w:p>
    <w:p w:rsidR="00B91A4D" w:rsidRPr="00181777" w:rsidRDefault="00B91A4D" w:rsidP="00652E6F">
      <w:pPr>
        <w:spacing w:line="240" w:lineRule="auto"/>
        <w:rPr>
          <w:rFonts w:cstheme="minorHAnsi"/>
          <w:sz w:val="18"/>
          <w:szCs w:val="18"/>
        </w:rPr>
      </w:pPr>
      <w:r w:rsidRPr="00181777">
        <w:rPr>
          <w:rFonts w:cstheme="minorHAnsi"/>
          <w:sz w:val="18"/>
          <w:szCs w:val="18"/>
        </w:rPr>
        <w:t>Pop</w:t>
      </w:r>
      <w:r w:rsidR="00DF6812" w:rsidRPr="00181777">
        <w:rPr>
          <w:rFonts w:cstheme="minorHAnsi"/>
          <w:sz w:val="18"/>
          <w:szCs w:val="18"/>
        </w:rPr>
        <w:t>ulation</w:t>
      </w:r>
      <w:r w:rsidRPr="00181777">
        <w:rPr>
          <w:rFonts w:cstheme="minorHAnsi"/>
          <w:sz w:val="18"/>
          <w:szCs w:val="18"/>
        </w:rPr>
        <w:t xml:space="preserve"> </w:t>
      </w:r>
      <w:r w:rsidR="00DF6812" w:rsidRPr="00181777">
        <w:rPr>
          <w:rFonts w:cstheme="minorHAnsi"/>
          <w:sz w:val="18"/>
          <w:szCs w:val="18"/>
        </w:rPr>
        <w:t>S</w:t>
      </w:r>
      <w:r w:rsidRPr="00181777">
        <w:rPr>
          <w:rFonts w:cstheme="minorHAnsi"/>
          <w:sz w:val="18"/>
          <w:szCs w:val="18"/>
        </w:rPr>
        <w:t xml:space="preserve">erved </w:t>
      </w:r>
      <w:r w:rsidR="00DF6812" w:rsidRPr="00181777">
        <w:rPr>
          <w:rFonts w:cstheme="minorHAnsi"/>
          <w:sz w:val="18"/>
          <w:szCs w:val="18"/>
        </w:rPr>
        <w:t>by CWS U</w:t>
      </w:r>
      <w:r w:rsidRPr="00181777">
        <w:rPr>
          <w:rFonts w:cstheme="minorHAnsi"/>
          <w:sz w:val="18"/>
          <w:szCs w:val="18"/>
        </w:rPr>
        <w:t>nder 10</w:t>
      </w:r>
      <w:r w:rsidR="00652E6F" w:rsidRPr="00181777">
        <w:rPr>
          <w:rFonts w:cstheme="minorHAnsi"/>
          <w:sz w:val="18"/>
          <w:szCs w:val="18"/>
        </w:rPr>
        <w:t>,</w:t>
      </w:r>
      <w:r w:rsidRPr="00181777">
        <w:rPr>
          <w:rFonts w:cstheme="minorHAnsi"/>
          <w:sz w:val="18"/>
          <w:szCs w:val="18"/>
        </w:rPr>
        <w:t>000 (sum)</w:t>
      </w:r>
    </w:p>
    <w:p w:rsidR="00B91A4D" w:rsidRPr="00181777" w:rsidRDefault="00B91A4D" w:rsidP="00652E6F">
      <w:pPr>
        <w:spacing w:line="240" w:lineRule="auto"/>
        <w:rPr>
          <w:rFonts w:cstheme="minorHAnsi"/>
          <w:sz w:val="18"/>
          <w:szCs w:val="18"/>
        </w:rPr>
      </w:pPr>
      <w:r w:rsidRPr="00181777">
        <w:rPr>
          <w:rFonts w:cstheme="minorHAnsi"/>
          <w:sz w:val="18"/>
          <w:szCs w:val="18"/>
        </w:rPr>
        <w:t>Pop</w:t>
      </w:r>
      <w:r w:rsidR="00DF6812" w:rsidRPr="00181777">
        <w:rPr>
          <w:rFonts w:cstheme="minorHAnsi"/>
          <w:sz w:val="18"/>
          <w:szCs w:val="18"/>
        </w:rPr>
        <w:t>ulation S</w:t>
      </w:r>
      <w:r w:rsidRPr="00181777">
        <w:rPr>
          <w:rFonts w:cstheme="minorHAnsi"/>
          <w:sz w:val="18"/>
          <w:szCs w:val="18"/>
        </w:rPr>
        <w:t xml:space="preserve">erved </w:t>
      </w:r>
      <w:r w:rsidR="00DF6812" w:rsidRPr="00181777">
        <w:rPr>
          <w:rFonts w:cstheme="minorHAnsi"/>
          <w:sz w:val="18"/>
          <w:szCs w:val="18"/>
        </w:rPr>
        <w:t>by CWS U</w:t>
      </w:r>
      <w:r w:rsidRPr="00181777">
        <w:rPr>
          <w:rFonts w:cstheme="minorHAnsi"/>
          <w:sz w:val="18"/>
          <w:szCs w:val="18"/>
        </w:rPr>
        <w:t>nder 10000 (calc)</w:t>
      </w:r>
      <w:r w:rsidR="00DF6812" w:rsidRPr="00181777">
        <w:rPr>
          <w:rFonts w:cstheme="minorHAnsi"/>
          <w:sz w:val="18"/>
          <w:szCs w:val="18"/>
        </w:rPr>
        <w:t xml:space="preserve"> - Average Household Size Times M</w:t>
      </w:r>
      <w:r w:rsidRPr="00181777">
        <w:rPr>
          <w:rFonts w:cstheme="minorHAnsi"/>
          <w:sz w:val="18"/>
          <w:szCs w:val="18"/>
        </w:rPr>
        <w:t>eters</w:t>
      </w:r>
    </w:p>
    <w:p w:rsidR="00B91A4D" w:rsidRPr="00181777" w:rsidRDefault="0034469B" w:rsidP="00652E6F">
      <w:pPr>
        <w:spacing w:line="240" w:lineRule="auto"/>
        <w:rPr>
          <w:rFonts w:cstheme="minorHAnsi"/>
          <w:sz w:val="18"/>
          <w:szCs w:val="18"/>
        </w:rPr>
      </w:pPr>
      <w:r>
        <w:rPr>
          <w:rFonts w:cstheme="minorHAnsi"/>
          <w:noProof/>
          <w:sz w:val="18"/>
          <w:szCs w:val="18"/>
        </w:rPr>
        <w:pict>
          <v:shapetype id="_x0000_t202" coordsize="21600,21600" o:spt="202" path="m,l,21600r21600,l21600,xe">
            <v:stroke joinstyle="miter"/>
            <v:path gradientshapeok="t" o:connecttype="rect"/>
          </v:shapetype>
          <v:shape id="_x0000_s1026" type="#_x0000_t202" style="position:absolute;margin-left:257.45pt;margin-top:8.5pt;width:274pt;height:132.1pt;z-index:251658240">
            <v:textbox>
              <w:txbxContent>
                <w:p w:rsidR="004C7F1F" w:rsidRPr="00492622" w:rsidRDefault="004C7F1F">
                  <w:pPr>
                    <w:rPr>
                      <w:rFonts w:ascii="Lucida Sans Unicode" w:hAnsi="Lucida Sans Unicode" w:cs="Lucida Sans Unicode"/>
                      <w:i/>
                      <w:sz w:val="18"/>
                      <w:szCs w:val="18"/>
                    </w:rPr>
                  </w:pPr>
                  <w:r>
                    <w:rPr>
                      <w:rFonts w:ascii="Lucida Sans Unicode" w:hAnsi="Lucida Sans Unicode" w:cs="Lucida Sans Unicode"/>
                      <w:i/>
                      <w:sz w:val="18"/>
                      <w:szCs w:val="18"/>
                    </w:rPr>
                    <w:t>Note: The following abbreviations and explanations apply to this listing.  CWS refers to Community Water Systems; NTNC refers to Non-transient, Non-community Water Systems; TNC refers to Transient Non-community Water Systems; calc or calcs refers to populations calculated as indicated; and sum or sums refers to populations determined by summing population figures in the pivot tables.</w:t>
                  </w:r>
                </w:p>
              </w:txbxContent>
            </v:textbox>
          </v:shape>
        </w:pict>
      </w:r>
      <w:r w:rsidR="00DF6812" w:rsidRPr="00181777">
        <w:rPr>
          <w:rFonts w:cstheme="minorHAnsi"/>
          <w:sz w:val="18"/>
          <w:szCs w:val="18"/>
        </w:rPr>
        <w:t>Ratio P</w:t>
      </w:r>
      <w:r w:rsidR="00652E6F" w:rsidRPr="00181777">
        <w:rPr>
          <w:rFonts w:cstheme="minorHAnsi"/>
          <w:sz w:val="18"/>
          <w:szCs w:val="18"/>
        </w:rPr>
        <w:t>op</w:t>
      </w:r>
      <w:r w:rsidR="00DF6812" w:rsidRPr="00181777">
        <w:rPr>
          <w:rFonts w:cstheme="minorHAnsi"/>
          <w:sz w:val="18"/>
          <w:szCs w:val="18"/>
        </w:rPr>
        <w:t>ulation Under 10,000 to T</w:t>
      </w:r>
      <w:r w:rsidR="00652E6F" w:rsidRPr="00181777">
        <w:rPr>
          <w:rFonts w:cstheme="minorHAnsi"/>
          <w:sz w:val="18"/>
          <w:szCs w:val="18"/>
        </w:rPr>
        <w:t>otal (calcs)</w:t>
      </w:r>
    </w:p>
    <w:p w:rsidR="00652E6F" w:rsidRPr="00181777" w:rsidRDefault="00DF6812" w:rsidP="00652E6F">
      <w:pPr>
        <w:spacing w:line="240" w:lineRule="auto"/>
        <w:rPr>
          <w:rFonts w:cstheme="minorHAnsi"/>
          <w:sz w:val="18"/>
          <w:szCs w:val="18"/>
        </w:rPr>
      </w:pPr>
      <w:r w:rsidRPr="00181777">
        <w:rPr>
          <w:rFonts w:cstheme="minorHAnsi"/>
          <w:sz w:val="18"/>
          <w:szCs w:val="18"/>
        </w:rPr>
        <w:t>Ratio P</w:t>
      </w:r>
      <w:r w:rsidR="00652E6F" w:rsidRPr="00181777">
        <w:rPr>
          <w:rFonts w:cstheme="minorHAnsi"/>
          <w:sz w:val="18"/>
          <w:szCs w:val="18"/>
        </w:rPr>
        <w:t>op</w:t>
      </w:r>
      <w:r w:rsidRPr="00181777">
        <w:rPr>
          <w:rFonts w:cstheme="minorHAnsi"/>
          <w:sz w:val="18"/>
          <w:szCs w:val="18"/>
        </w:rPr>
        <w:t>ulation Under 10,000 to T</w:t>
      </w:r>
      <w:r w:rsidR="00652E6F" w:rsidRPr="00181777">
        <w:rPr>
          <w:rFonts w:cstheme="minorHAnsi"/>
          <w:sz w:val="18"/>
          <w:szCs w:val="18"/>
        </w:rPr>
        <w:t>otal (sums)</w:t>
      </w:r>
    </w:p>
    <w:p w:rsidR="00652E6F" w:rsidRPr="00181777" w:rsidRDefault="00DF6812" w:rsidP="00652E6F">
      <w:pPr>
        <w:spacing w:line="240" w:lineRule="auto"/>
        <w:rPr>
          <w:rFonts w:cstheme="minorHAnsi"/>
          <w:sz w:val="18"/>
          <w:szCs w:val="18"/>
        </w:rPr>
      </w:pPr>
      <w:r w:rsidRPr="00181777">
        <w:rPr>
          <w:rFonts w:cstheme="minorHAnsi"/>
          <w:sz w:val="18"/>
          <w:szCs w:val="18"/>
        </w:rPr>
        <w:t>Total M</w:t>
      </w:r>
      <w:r w:rsidR="00652E6F" w:rsidRPr="00181777">
        <w:rPr>
          <w:rFonts w:cstheme="minorHAnsi"/>
          <w:sz w:val="18"/>
          <w:szCs w:val="18"/>
        </w:rPr>
        <w:t>eters</w:t>
      </w:r>
      <w:r w:rsidRPr="00181777">
        <w:rPr>
          <w:rFonts w:cstheme="minorHAnsi"/>
          <w:sz w:val="18"/>
          <w:szCs w:val="18"/>
        </w:rPr>
        <w:t xml:space="preserve"> Served by</w:t>
      </w:r>
      <w:r w:rsidR="00F62539" w:rsidRPr="00181777">
        <w:rPr>
          <w:rFonts w:cstheme="minorHAnsi"/>
          <w:sz w:val="18"/>
          <w:szCs w:val="18"/>
        </w:rPr>
        <w:t xml:space="preserve"> CWS</w:t>
      </w:r>
      <w:r w:rsidR="00BC04AF" w:rsidRPr="00181777">
        <w:rPr>
          <w:rFonts w:cstheme="minorHAnsi"/>
          <w:sz w:val="18"/>
          <w:szCs w:val="18"/>
        </w:rPr>
        <w:t xml:space="preserve"> Serving </w:t>
      </w:r>
      <w:r w:rsidR="00F62539" w:rsidRPr="00181777">
        <w:rPr>
          <w:rFonts w:cstheme="minorHAnsi"/>
          <w:sz w:val="18"/>
          <w:szCs w:val="18"/>
        </w:rPr>
        <w:t>U</w:t>
      </w:r>
      <w:r w:rsidR="00652E6F" w:rsidRPr="00181777">
        <w:rPr>
          <w:rFonts w:cstheme="minorHAnsi"/>
          <w:sz w:val="18"/>
          <w:szCs w:val="18"/>
        </w:rPr>
        <w:t>nder 10,000</w:t>
      </w:r>
      <w:r w:rsidR="00BC04AF" w:rsidRPr="00181777">
        <w:rPr>
          <w:rFonts w:cstheme="minorHAnsi"/>
          <w:sz w:val="18"/>
          <w:szCs w:val="18"/>
        </w:rPr>
        <w:t xml:space="preserve"> People</w:t>
      </w:r>
    </w:p>
    <w:p w:rsidR="00652E6F" w:rsidRPr="00181777" w:rsidRDefault="00DF6812" w:rsidP="00652E6F">
      <w:pPr>
        <w:spacing w:line="240" w:lineRule="auto"/>
        <w:rPr>
          <w:rFonts w:cstheme="minorHAnsi"/>
          <w:sz w:val="18"/>
          <w:szCs w:val="18"/>
        </w:rPr>
      </w:pPr>
      <w:r w:rsidRPr="00181777">
        <w:rPr>
          <w:rFonts w:cstheme="minorHAnsi"/>
          <w:sz w:val="18"/>
          <w:szCs w:val="18"/>
        </w:rPr>
        <w:t>Total CWS U</w:t>
      </w:r>
      <w:r w:rsidR="00652E6F" w:rsidRPr="00181777">
        <w:rPr>
          <w:rFonts w:cstheme="minorHAnsi"/>
          <w:sz w:val="18"/>
          <w:szCs w:val="18"/>
        </w:rPr>
        <w:t>nder 10,000</w:t>
      </w:r>
    </w:p>
    <w:p w:rsidR="00652E6F" w:rsidRPr="00181777" w:rsidRDefault="00DF6812" w:rsidP="00652E6F">
      <w:pPr>
        <w:spacing w:line="240" w:lineRule="auto"/>
        <w:rPr>
          <w:rFonts w:cstheme="minorHAnsi"/>
          <w:sz w:val="18"/>
          <w:szCs w:val="18"/>
        </w:rPr>
      </w:pPr>
      <w:r w:rsidRPr="00181777">
        <w:rPr>
          <w:rFonts w:cstheme="minorHAnsi"/>
          <w:sz w:val="18"/>
          <w:szCs w:val="18"/>
        </w:rPr>
        <w:t>Average M</w:t>
      </w:r>
      <w:r w:rsidR="00F62539" w:rsidRPr="00181777">
        <w:rPr>
          <w:rFonts w:cstheme="minorHAnsi"/>
          <w:sz w:val="18"/>
          <w:szCs w:val="18"/>
        </w:rPr>
        <w:t>eters per CWS</w:t>
      </w:r>
      <w:r w:rsidR="00BC04AF" w:rsidRPr="00181777">
        <w:rPr>
          <w:rFonts w:cstheme="minorHAnsi"/>
          <w:sz w:val="18"/>
          <w:szCs w:val="18"/>
        </w:rPr>
        <w:t xml:space="preserve"> Serving </w:t>
      </w:r>
      <w:r w:rsidR="00F62539" w:rsidRPr="00181777">
        <w:rPr>
          <w:rFonts w:cstheme="minorHAnsi"/>
          <w:sz w:val="18"/>
          <w:szCs w:val="18"/>
        </w:rPr>
        <w:t>U</w:t>
      </w:r>
      <w:r w:rsidR="00652E6F" w:rsidRPr="00181777">
        <w:rPr>
          <w:rFonts w:cstheme="minorHAnsi"/>
          <w:sz w:val="18"/>
          <w:szCs w:val="18"/>
        </w:rPr>
        <w:t>nder 10,000</w:t>
      </w:r>
      <w:r w:rsidR="00BC04AF" w:rsidRPr="00181777">
        <w:rPr>
          <w:rFonts w:cstheme="minorHAnsi"/>
          <w:sz w:val="18"/>
          <w:szCs w:val="18"/>
        </w:rPr>
        <w:t xml:space="preserve"> People</w:t>
      </w:r>
    </w:p>
    <w:p w:rsidR="00652E6F" w:rsidRPr="00181777" w:rsidRDefault="00652E6F" w:rsidP="00652E6F">
      <w:pPr>
        <w:spacing w:line="240" w:lineRule="auto"/>
        <w:rPr>
          <w:rFonts w:cstheme="minorHAnsi"/>
          <w:sz w:val="18"/>
          <w:szCs w:val="18"/>
        </w:rPr>
      </w:pPr>
      <w:r w:rsidRPr="00181777">
        <w:rPr>
          <w:rFonts w:cstheme="minorHAnsi"/>
          <w:sz w:val="18"/>
          <w:szCs w:val="18"/>
        </w:rPr>
        <w:t>Total NTNCs</w:t>
      </w:r>
    </w:p>
    <w:p w:rsidR="00492622" w:rsidRPr="00181777" w:rsidRDefault="00492622" w:rsidP="00652E6F">
      <w:pPr>
        <w:spacing w:line="240" w:lineRule="auto"/>
        <w:rPr>
          <w:rFonts w:cstheme="minorHAnsi"/>
          <w:sz w:val="18"/>
          <w:szCs w:val="18"/>
        </w:rPr>
      </w:pPr>
      <w:r w:rsidRPr="00181777">
        <w:rPr>
          <w:rFonts w:cstheme="minorHAnsi"/>
          <w:sz w:val="18"/>
          <w:szCs w:val="18"/>
        </w:rPr>
        <w:t>Total TNCs</w:t>
      </w:r>
    </w:p>
    <w:p w:rsidR="00492622" w:rsidRPr="00CE46A3" w:rsidRDefault="00492622" w:rsidP="00652E6F">
      <w:pPr>
        <w:spacing w:line="240" w:lineRule="auto"/>
        <w:rPr>
          <w:rFonts w:cstheme="minorHAnsi"/>
        </w:rPr>
      </w:pPr>
      <w:r w:rsidRPr="00CE46A3">
        <w:rPr>
          <w:rFonts w:cstheme="minorHAnsi"/>
        </w:rPr>
        <w:lastRenderedPageBreak/>
        <w:t>Total CWS</w:t>
      </w:r>
    </w:p>
    <w:p w:rsidR="005E30DD" w:rsidRDefault="003831A7" w:rsidP="00652E6F">
      <w:pPr>
        <w:spacing w:line="240" w:lineRule="auto"/>
        <w:rPr>
          <w:rFonts w:cstheme="minorHAnsi"/>
        </w:rPr>
      </w:pPr>
      <w:r>
        <w:rPr>
          <w:rFonts w:cstheme="minorHAnsi"/>
        </w:rPr>
        <w:t xml:space="preserve">In the previous note mention is made of populations calculated by multiplying average household size by the number of meters involved. </w:t>
      </w:r>
      <w:r w:rsidR="00A31C24">
        <w:rPr>
          <w:rFonts w:cstheme="minorHAnsi"/>
        </w:rPr>
        <w:t xml:space="preserve">This was done in an attempt to evaluate the impact of errors in the SDWIS data referenced earlier. As an example of these errors, in Alabama if the populations associated with CWS </w:t>
      </w:r>
      <w:r w:rsidR="00CF733D">
        <w:rPr>
          <w:rFonts w:cstheme="minorHAnsi"/>
        </w:rPr>
        <w:t>are</w:t>
      </w:r>
      <w:r w:rsidR="00A31C24">
        <w:rPr>
          <w:rFonts w:cstheme="minorHAnsi"/>
        </w:rPr>
        <w:t xml:space="preserve"> determined by summing the pivot table populations served by each system, the resulting total is greater than the 2010 Census population estimated for the entire sta</w:t>
      </w:r>
      <w:r w:rsidR="00C32CC8">
        <w:rPr>
          <w:rFonts w:cstheme="minorHAnsi"/>
        </w:rPr>
        <w:t xml:space="preserve">te (5,537,162 versus 4,802,902). Personal communication with the Alabama Department of Environmental Management indicated that this discrepancy probably arises because of their practice of estimating their populations served by multiplying an assumed household size of 3 persons times the number of meters involved. </w:t>
      </w:r>
      <w:r w:rsidR="007320F3">
        <w:rPr>
          <w:rFonts w:cstheme="minorHAnsi"/>
        </w:rPr>
        <w:t>Inasmuch as census data provide</w:t>
      </w:r>
      <w:r w:rsidR="00C32CC8">
        <w:rPr>
          <w:rFonts w:cstheme="minorHAnsi"/>
        </w:rPr>
        <w:t xml:space="preserve"> more exact estimates of household size for each state, it was decided to calculate populations where appropriate by multiplying census household size figures for each state times meters and compare ratios determined using </w:t>
      </w:r>
      <w:r w:rsidR="007320F3">
        <w:rPr>
          <w:rFonts w:cstheme="minorHAnsi"/>
        </w:rPr>
        <w:t>these calculated values with ratios determined using populations derived by summing pivot table values. These differences, which turned out to be relatively minor, are discussed further in subsequent paragraphs.</w:t>
      </w:r>
    </w:p>
    <w:p w:rsidR="009852E5" w:rsidRDefault="009852E5" w:rsidP="00652E6F">
      <w:pPr>
        <w:spacing w:line="240" w:lineRule="auto"/>
        <w:rPr>
          <w:rFonts w:cstheme="minorHAnsi"/>
        </w:rPr>
      </w:pPr>
      <w:r w:rsidRPr="009852E5">
        <w:rPr>
          <w:rFonts w:cstheme="minorHAnsi"/>
          <w:b/>
          <w:u w:val="single"/>
        </w:rPr>
        <w:t>Results</w:t>
      </w:r>
    </w:p>
    <w:p w:rsidR="009852E5" w:rsidRDefault="009852E5" w:rsidP="00652E6F">
      <w:pPr>
        <w:spacing w:line="240" w:lineRule="auto"/>
        <w:rPr>
          <w:rFonts w:cstheme="minorHAnsi"/>
        </w:rPr>
      </w:pPr>
      <w:r>
        <w:rPr>
          <w:rFonts w:cstheme="minorHAnsi"/>
        </w:rPr>
        <w:t>Population Served</w:t>
      </w:r>
    </w:p>
    <w:p w:rsidR="009852E5" w:rsidRDefault="009852E5" w:rsidP="00652E6F">
      <w:pPr>
        <w:spacing w:line="240" w:lineRule="auto"/>
        <w:rPr>
          <w:rFonts w:cstheme="minorHAnsi"/>
        </w:rPr>
      </w:pPr>
      <w:r>
        <w:rPr>
          <w:rFonts w:cstheme="minorHAnsi"/>
        </w:rPr>
        <w:t xml:space="preserve">A key parameter of small system demographics is the number of people served by these systems. As previously mentioned, it is suspected that there is a widespread conception that small systems serve only about 10% of the population. Data derived from this analysis do not support this. </w:t>
      </w:r>
      <w:r w:rsidR="006D0C48">
        <w:rPr>
          <w:rFonts w:cstheme="minorHAnsi"/>
        </w:rPr>
        <w:t>The parameter of population served can be addressed in several ways, but in this treatment two statistics were deemed to be important; the amount of the total population served by Community Water Systems (CWS) and the fraction of this served-population that is accounted for by small systems serving less than 10,000 people.</w:t>
      </w:r>
    </w:p>
    <w:p w:rsidR="006D0C48" w:rsidRDefault="006D0C48" w:rsidP="00652E6F">
      <w:pPr>
        <w:spacing w:line="240" w:lineRule="auto"/>
        <w:rPr>
          <w:rFonts w:cstheme="minorHAnsi"/>
        </w:rPr>
      </w:pPr>
      <w:r>
        <w:rPr>
          <w:rFonts w:cstheme="minorHAnsi"/>
        </w:rPr>
        <w:t xml:space="preserve">The </w:t>
      </w:r>
      <w:r w:rsidR="00D81810">
        <w:rPr>
          <w:rFonts w:cstheme="minorHAnsi"/>
        </w:rPr>
        <w:t xml:space="preserve">ratio of the </w:t>
      </w:r>
      <w:r>
        <w:rPr>
          <w:rFonts w:cstheme="minorHAnsi"/>
        </w:rPr>
        <w:t>CWS population served</w:t>
      </w:r>
      <w:r w:rsidR="00D81810">
        <w:rPr>
          <w:rFonts w:cstheme="minorHAnsi"/>
        </w:rPr>
        <w:t xml:space="preserve"> to the 2010 Census population </w:t>
      </w:r>
      <w:r>
        <w:rPr>
          <w:rFonts w:cstheme="minorHAnsi"/>
        </w:rPr>
        <w:t xml:space="preserve">was calculated for each state and was found to range from </w:t>
      </w:r>
      <w:r w:rsidR="00BD52A0">
        <w:rPr>
          <w:rFonts w:cstheme="minorHAnsi"/>
        </w:rPr>
        <w:t xml:space="preserve">0.50 to </w:t>
      </w:r>
      <w:r w:rsidR="00D81810">
        <w:rPr>
          <w:rFonts w:cstheme="minorHAnsi"/>
        </w:rPr>
        <w:t xml:space="preserve">1.42 if summed values were used for CWS population and from </w:t>
      </w:r>
      <w:r w:rsidR="00BD52A0">
        <w:rPr>
          <w:rFonts w:cstheme="minorHAnsi"/>
        </w:rPr>
        <w:t xml:space="preserve">0.46 to </w:t>
      </w:r>
      <w:r w:rsidR="00D81810">
        <w:rPr>
          <w:rFonts w:cstheme="minorHAnsi"/>
        </w:rPr>
        <w:t xml:space="preserve">1.37 if calculated CWS values were used as previously discussed. The values above 1.00 in either case obviously reflect the errors known to occur in the pivot table data. Averages for the ratios using the summed and calculated figures respectively are </w:t>
      </w:r>
      <w:r w:rsidR="00803342">
        <w:rPr>
          <w:rFonts w:cstheme="minorHAnsi"/>
        </w:rPr>
        <w:t>0.89 and 0.76, leading one to suspect in spite of the errors involved</w:t>
      </w:r>
      <w:r w:rsidR="00BD52A0">
        <w:rPr>
          <w:rFonts w:cstheme="minorHAnsi"/>
        </w:rPr>
        <w:t>,</w:t>
      </w:r>
      <w:r w:rsidR="00803342">
        <w:rPr>
          <w:rFonts w:cstheme="minorHAnsi"/>
        </w:rPr>
        <w:t xml:space="preserve"> that CWS probably serve 80 to 90% or more of the population in states on average.</w:t>
      </w:r>
      <w:r w:rsidR="000D6827">
        <w:rPr>
          <w:rFonts w:cstheme="minorHAnsi"/>
        </w:rPr>
        <w:t xml:space="preserve"> The scatter plot below in Figure 1 </w:t>
      </w:r>
      <w:r w:rsidR="00C0755C">
        <w:rPr>
          <w:rFonts w:cstheme="minorHAnsi"/>
        </w:rPr>
        <w:t>in which the ratios for each state are plotted does not seem</w:t>
      </w:r>
      <w:r w:rsidR="000D6827">
        <w:rPr>
          <w:rFonts w:cstheme="minorHAnsi"/>
        </w:rPr>
        <w:t xml:space="preserve"> to </w:t>
      </w:r>
      <w:r w:rsidR="00C0755C">
        <w:rPr>
          <w:rFonts w:cstheme="minorHAnsi"/>
        </w:rPr>
        <w:t>be inconsistent with</w:t>
      </w:r>
      <w:r w:rsidR="000D6827">
        <w:rPr>
          <w:rFonts w:cstheme="minorHAnsi"/>
        </w:rPr>
        <w:t xml:space="preserve"> this observation.</w:t>
      </w:r>
    </w:p>
    <w:p w:rsidR="000D6827" w:rsidRDefault="000D6827" w:rsidP="000D6827">
      <w:pPr>
        <w:spacing w:line="240" w:lineRule="auto"/>
        <w:jc w:val="center"/>
        <w:rPr>
          <w:rFonts w:cstheme="minorHAnsi"/>
        </w:rPr>
      </w:pPr>
      <w:r>
        <w:rPr>
          <w:rFonts w:cstheme="minorHAnsi"/>
        </w:rPr>
        <w:t>Figure 1</w:t>
      </w:r>
    </w:p>
    <w:p w:rsidR="000D6827" w:rsidRPr="009852E5" w:rsidRDefault="000D6827" w:rsidP="000D6827">
      <w:pPr>
        <w:spacing w:line="240" w:lineRule="auto"/>
        <w:jc w:val="center"/>
        <w:rPr>
          <w:rFonts w:cstheme="minorHAnsi"/>
        </w:rPr>
      </w:pPr>
      <w:r w:rsidRPr="000D6827">
        <w:rPr>
          <w:rFonts w:cstheme="minorHAnsi"/>
          <w:noProof/>
        </w:rPr>
        <w:drawing>
          <wp:inline distT="0" distB="0" distL="0" distR="0">
            <wp:extent cx="4270078" cy="2052466"/>
            <wp:effectExtent l="19050" t="0" r="16172" b="493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4710" w:rsidRDefault="00784710" w:rsidP="00652E6F">
      <w:pPr>
        <w:spacing w:line="240" w:lineRule="auto"/>
        <w:rPr>
          <w:rFonts w:ascii="Lucida Sans Unicode" w:hAnsi="Lucida Sans Unicode" w:cs="Lucida Sans Unicode"/>
          <w:sz w:val="16"/>
          <w:szCs w:val="16"/>
        </w:rPr>
        <w:sectPr w:rsidR="00784710" w:rsidSect="009266FA">
          <w:footerReference w:type="default" r:id="rId8"/>
          <w:pgSz w:w="12240" w:h="15840"/>
          <w:pgMar w:top="1440" w:right="1440" w:bottom="720" w:left="1440" w:header="720" w:footer="432" w:gutter="0"/>
          <w:cols w:space="720"/>
          <w:docGrid w:linePitch="360"/>
        </w:sectPr>
      </w:pPr>
    </w:p>
    <w:p w:rsidR="00652E6F" w:rsidRPr="00E5115D" w:rsidRDefault="00C0755C" w:rsidP="00652E6F">
      <w:pPr>
        <w:spacing w:line="240" w:lineRule="auto"/>
        <w:rPr>
          <w:rFonts w:cstheme="minorHAnsi"/>
        </w:rPr>
      </w:pPr>
      <w:r w:rsidRPr="00E5115D">
        <w:rPr>
          <w:rFonts w:cstheme="minorHAnsi"/>
        </w:rPr>
        <w:lastRenderedPageBreak/>
        <w:t xml:space="preserve">In the population served category, the parameter of more concern to small systems is how much of the </w:t>
      </w:r>
      <w:r w:rsidR="00241A3C" w:rsidRPr="00E5115D">
        <w:rPr>
          <w:rFonts w:cstheme="minorHAnsi"/>
        </w:rPr>
        <w:t xml:space="preserve">population served by CWS is accounted for by those systems serving 10,000 or fewer people. </w:t>
      </w:r>
      <w:r w:rsidR="009F5F8B" w:rsidRPr="00E5115D">
        <w:rPr>
          <w:rFonts w:cstheme="minorHAnsi"/>
        </w:rPr>
        <w:t>This was determined by calculating the ratio of the population served by CWS supplying 10,000 or less people to the total population served by CWS in each state.  These values ranged from 0.06 to 0.71 with an average of 0.26</w:t>
      </w:r>
      <w:r w:rsidR="009D1532" w:rsidRPr="00E5115D">
        <w:rPr>
          <w:rFonts w:cstheme="minorHAnsi"/>
        </w:rPr>
        <w:t xml:space="preserve"> for population values </w:t>
      </w:r>
      <w:r w:rsidR="00641A80" w:rsidRPr="00E5115D">
        <w:rPr>
          <w:rFonts w:cstheme="minorHAnsi"/>
        </w:rPr>
        <w:t>determined by summing pivot table values.</w:t>
      </w:r>
      <w:r w:rsidR="009F5F8B" w:rsidRPr="00E5115D">
        <w:rPr>
          <w:rFonts w:cstheme="minorHAnsi"/>
        </w:rPr>
        <w:t xml:space="preserve"> These results are shown graphically in scatter plot in Figure 2 which plots the above ratios for each state.</w:t>
      </w:r>
    </w:p>
    <w:p w:rsidR="009F5F8B" w:rsidRPr="00E5115D" w:rsidRDefault="009F5F8B" w:rsidP="009F5F8B">
      <w:pPr>
        <w:spacing w:line="240" w:lineRule="auto"/>
        <w:jc w:val="center"/>
        <w:rPr>
          <w:rFonts w:cstheme="minorHAnsi"/>
        </w:rPr>
      </w:pPr>
      <w:r w:rsidRPr="00E5115D">
        <w:rPr>
          <w:rFonts w:cstheme="minorHAnsi"/>
        </w:rPr>
        <w:t>Figure 2</w:t>
      </w:r>
    </w:p>
    <w:p w:rsidR="009F5F8B" w:rsidRDefault="009F5F8B" w:rsidP="009F5F8B">
      <w:pPr>
        <w:spacing w:line="240" w:lineRule="auto"/>
        <w:jc w:val="center"/>
        <w:rPr>
          <w:rFonts w:ascii="Lucida Sans Unicode" w:hAnsi="Lucida Sans Unicode" w:cs="Lucida Sans Unicode"/>
          <w:sz w:val="16"/>
          <w:szCs w:val="16"/>
        </w:rPr>
      </w:pPr>
      <w:r w:rsidRPr="009F5F8B">
        <w:rPr>
          <w:rFonts w:ascii="Lucida Sans Unicode" w:hAnsi="Lucida Sans Unicode" w:cs="Lucida Sans Unicode"/>
          <w:noProof/>
          <w:sz w:val="16"/>
          <w:szCs w:val="16"/>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2E6F" w:rsidRPr="00E5115D" w:rsidRDefault="00641A80" w:rsidP="00652E6F">
      <w:pPr>
        <w:spacing w:line="240" w:lineRule="auto"/>
        <w:rPr>
          <w:rFonts w:cstheme="minorHAnsi"/>
        </w:rPr>
      </w:pPr>
      <w:r w:rsidRPr="00E5115D">
        <w:rPr>
          <w:rFonts w:cstheme="minorHAnsi"/>
        </w:rPr>
        <w:t>It is interesting to note that although the average ratio is only 0.26 (26%), in numerous states this average is exceeded significantly, approaching and occasionally exceeding 0.50 (50%).</w:t>
      </w:r>
      <w:r w:rsidR="001558F9" w:rsidRPr="00E5115D">
        <w:rPr>
          <w:rFonts w:cstheme="minorHAnsi"/>
        </w:rPr>
        <w:t xml:space="preserve"> This observation does not change significantly if the ratios are calculated using the 2010 Census total population figures as shown in Figure 3.</w:t>
      </w:r>
    </w:p>
    <w:p w:rsidR="001558F9" w:rsidRPr="00E5115D" w:rsidRDefault="001558F9" w:rsidP="001558F9">
      <w:pPr>
        <w:spacing w:line="240" w:lineRule="auto"/>
        <w:jc w:val="center"/>
        <w:rPr>
          <w:rFonts w:cstheme="minorHAnsi"/>
        </w:rPr>
      </w:pPr>
      <w:r w:rsidRPr="00E5115D">
        <w:rPr>
          <w:rFonts w:cstheme="minorHAnsi"/>
        </w:rPr>
        <w:t>Figure 3</w:t>
      </w:r>
    </w:p>
    <w:p w:rsidR="001558F9" w:rsidRDefault="001558F9" w:rsidP="001558F9">
      <w:pPr>
        <w:spacing w:line="240" w:lineRule="auto"/>
        <w:jc w:val="center"/>
        <w:rPr>
          <w:rFonts w:ascii="Lucida Sans Unicode" w:hAnsi="Lucida Sans Unicode" w:cs="Lucida Sans Unicode"/>
          <w:sz w:val="16"/>
          <w:szCs w:val="16"/>
        </w:rPr>
      </w:pPr>
      <w:r w:rsidRPr="001558F9">
        <w:rPr>
          <w:rFonts w:ascii="Lucida Sans Unicode" w:hAnsi="Lucida Sans Unicode" w:cs="Lucida Sans Unicode"/>
          <w:noProof/>
          <w:sz w:val="16"/>
          <w:szCs w:val="16"/>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58F9" w:rsidRDefault="001558F9" w:rsidP="00652E6F">
      <w:pPr>
        <w:spacing w:line="240" w:lineRule="auto"/>
        <w:rPr>
          <w:rFonts w:ascii="Lucida Sans Unicode" w:hAnsi="Lucida Sans Unicode" w:cs="Lucida Sans Unicode"/>
          <w:sz w:val="16"/>
          <w:szCs w:val="16"/>
        </w:rPr>
      </w:pPr>
    </w:p>
    <w:p w:rsidR="00F21315" w:rsidRPr="00E5115D" w:rsidRDefault="00F21315" w:rsidP="00652E6F">
      <w:pPr>
        <w:spacing w:line="240" w:lineRule="auto"/>
        <w:rPr>
          <w:rFonts w:cstheme="minorHAnsi"/>
        </w:rPr>
      </w:pPr>
      <w:r w:rsidRPr="00E5115D">
        <w:rPr>
          <w:rFonts w:cstheme="minorHAnsi"/>
        </w:rPr>
        <w:lastRenderedPageBreak/>
        <w:t>System Size</w:t>
      </w:r>
    </w:p>
    <w:p w:rsidR="00F21315" w:rsidRPr="00E5115D" w:rsidRDefault="00F21315" w:rsidP="00652E6F">
      <w:pPr>
        <w:spacing w:line="240" w:lineRule="auto"/>
        <w:rPr>
          <w:rFonts w:cstheme="minorHAnsi"/>
        </w:rPr>
      </w:pPr>
      <w:r w:rsidRPr="00E5115D">
        <w:rPr>
          <w:rFonts w:cstheme="minorHAnsi"/>
        </w:rPr>
        <w:t xml:space="preserve">System size can be expressed in many ways, but commonly by number of meters served. This parameter was measured for each state and ranged from </w:t>
      </w:r>
      <w:r w:rsidR="000B6379" w:rsidRPr="00E5115D">
        <w:rPr>
          <w:rFonts w:cstheme="minorHAnsi"/>
        </w:rPr>
        <w:t>121 to 1275 meters/CWS serving less than 10,000 people.  The average number of meters served was 469. The scatter plot distribution of these values is shown in Figure 4 and clearly depicts the wide variation in sizes of systems between the states.</w:t>
      </w:r>
    </w:p>
    <w:p w:rsidR="000B6379" w:rsidRPr="00E5115D" w:rsidRDefault="000B6379" w:rsidP="000B6379">
      <w:pPr>
        <w:spacing w:line="240" w:lineRule="auto"/>
        <w:jc w:val="center"/>
        <w:rPr>
          <w:rFonts w:cstheme="minorHAnsi"/>
        </w:rPr>
      </w:pPr>
      <w:r w:rsidRPr="00E5115D">
        <w:rPr>
          <w:rFonts w:cstheme="minorHAnsi"/>
        </w:rPr>
        <w:t>Figure 4</w:t>
      </w:r>
    </w:p>
    <w:p w:rsidR="000B6379" w:rsidRDefault="000B6379" w:rsidP="000B6379">
      <w:pPr>
        <w:spacing w:line="240" w:lineRule="auto"/>
        <w:jc w:val="center"/>
        <w:rPr>
          <w:rFonts w:ascii="Lucida Sans Unicode" w:hAnsi="Lucida Sans Unicode" w:cs="Lucida Sans Unicode"/>
          <w:sz w:val="16"/>
          <w:szCs w:val="16"/>
        </w:rPr>
      </w:pPr>
      <w:r w:rsidRPr="000B6379">
        <w:rPr>
          <w:rFonts w:ascii="Lucida Sans Unicode" w:hAnsi="Lucida Sans Unicode" w:cs="Lucida Sans Unicode"/>
          <w:noProof/>
          <w:sz w:val="16"/>
          <w:szCs w:val="16"/>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001D" w:rsidRPr="00E5115D" w:rsidRDefault="0074001D" w:rsidP="0074001D">
      <w:pPr>
        <w:spacing w:line="240" w:lineRule="auto"/>
        <w:rPr>
          <w:rFonts w:cstheme="minorHAnsi"/>
        </w:rPr>
      </w:pPr>
      <w:r w:rsidRPr="00E5115D">
        <w:rPr>
          <w:rFonts w:cstheme="minorHAnsi"/>
        </w:rPr>
        <w:t>The wide variation in size of small systems across states is perhaps not surprising inasmuch as the number of these small systems also shows wide variation from state to state. These numbers vary from a low of 73 to a high of 4319 with an average of 919 CWS per state serving fewer than 10,000 people. The corresponding scatter plot shown in Figure 5</w:t>
      </w:r>
      <w:r w:rsidR="0059271D" w:rsidRPr="00E5115D">
        <w:rPr>
          <w:rFonts w:cstheme="minorHAnsi"/>
        </w:rPr>
        <w:t xml:space="preserve"> shows a ver</w:t>
      </w:r>
      <w:r w:rsidR="00A23451">
        <w:rPr>
          <w:rFonts w:cstheme="minorHAnsi"/>
        </w:rPr>
        <w:t>y</w:t>
      </w:r>
      <w:r w:rsidR="0059271D" w:rsidRPr="00E5115D">
        <w:rPr>
          <w:rFonts w:cstheme="minorHAnsi"/>
        </w:rPr>
        <w:t xml:space="preserve"> similar dispersion pattern to that in Figure 4.</w:t>
      </w:r>
    </w:p>
    <w:p w:rsidR="0059271D" w:rsidRPr="00E5115D" w:rsidRDefault="0059271D" w:rsidP="0059271D">
      <w:pPr>
        <w:spacing w:line="240" w:lineRule="auto"/>
        <w:jc w:val="center"/>
        <w:rPr>
          <w:rFonts w:cstheme="minorHAnsi"/>
        </w:rPr>
      </w:pPr>
      <w:r w:rsidRPr="00E5115D">
        <w:rPr>
          <w:rFonts w:cstheme="minorHAnsi"/>
        </w:rPr>
        <w:t>Figure 5</w:t>
      </w:r>
    </w:p>
    <w:p w:rsidR="0059271D" w:rsidRDefault="008F5991" w:rsidP="0059271D">
      <w:pPr>
        <w:spacing w:line="240" w:lineRule="auto"/>
        <w:jc w:val="center"/>
        <w:rPr>
          <w:rFonts w:ascii="Lucida Sans Unicode" w:hAnsi="Lucida Sans Unicode" w:cs="Lucida Sans Unicode"/>
          <w:sz w:val="16"/>
          <w:szCs w:val="16"/>
        </w:rPr>
      </w:pPr>
      <w:r w:rsidRPr="008F5991">
        <w:rPr>
          <w:rFonts w:ascii="Lucida Sans Unicode" w:hAnsi="Lucida Sans Unicode" w:cs="Lucida Sans Unicode"/>
          <w:noProof/>
          <w:sz w:val="16"/>
          <w:szCs w:val="16"/>
        </w:rPr>
        <w:drawing>
          <wp:inline distT="0" distB="0" distL="0" distR="0">
            <wp:extent cx="4552950" cy="2743200"/>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271D" w:rsidRDefault="0059271D" w:rsidP="0059271D">
      <w:pPr>
        <w:spacing w:line="240" w:lineRule="auto"/>
        <w:jc w:val="center"/>
        <w:rPr>
          <w:rFonts w:ascii="Lucida Sans Unicode" w:hAnsi="Lucida Sans Unicode" w:cs="Lucida Sans Unicode"/>
          <w:sz w:val="16"/>
          <w:szCs w:val="16"/>
        </w:rPr>
      </w:pPr>
    </w:p>
    <w:p w:rsidR="0059271D" w:rsidRPr="00684C2A" w:rsidRDefault="00130CCF" w:rsidP="00401432">
      <w:pPr>
        <w:spacing w:line="240" w:lineRule="auto"/>
        <w:rPr>
          <w:rFonts w:cstheme="minorHAnsi"/>
        </w:rPr>
      </w:pPr>
      <w:r w:rsidRPr="00684C2A">
        <w:rPr>
          <w:rFonts w:cstheme="minorHAnsi"/>
        </w:rPr>
        <w:lastRenderedPageBreak/>
        <w:t>Geographical Influence</w:t>
      </w:r>
    </w:p>
    <w:p w:rsidR="00130CCF" w:rsidRPr="00684C2A" w:rsidRDefault="00130CCF" w:rsidP="00401432">
      <w:pPr>
        <w:spacing w:line="240" w:lineRule="auto"/>
        <w:rPr>
          <w:rFonts w:cstheme="minorHAnsi"/>
        </w:rPr>
      </w:pPr>
      <w:r w:rsidRPr="00684C2A">
        <w:rPr>
          <w:rFonts w:cstheme="minorHAnsi"/>
        </w:rPr>
        <w:t>To evaluate possible geographical influences on the values of parameters discussed, the state values were ordered by USEPA Region. There are 10 of these regions and fortunately they progress from the lowest identifying number on the East Coast to the highest on the West Coast</w:t>
      </w:r>
      <w:r w:rsidR="00A23451">
        <w:rPr>
          <w:rFonts w:cstheme="minorHAnsi"/>
        </w:rPr>
        <w:t xml:space="preserve"> so that</w:t>
      </w:r>
      <w:r w:rsidRPr="00684C2A">
        <w:rPr>
          <w:rFonts w:cstheme="minorHAnsi"/>
        </w:rPr>
        <w:t xml:space="preserve"> evaluating data as they may change from Region 1 to Region 10 provides at least a qualitative measure of possible geographical effects.  These 10 regions and the states they include follow.</w:t>
      </w:r>
    </w:p>
    <w:p w:rsidR="00130CCF" w:rsidRPr="00684C2A" w:rsidRDefault="00130CCF" w:rsidP="00D135E8">
      <w:pPr>
        <w:numPr>
          <w:ilvl w:val="0"/>
          <w:numId w:val="1"/>
        </w:numPr>
        <w:shd w:val="clear" w:color="auto" w:fill="FFFFFF"/>
        <w:spacing w:before="100" w:beforeAutospacing="1" w:after="100" w:afterAutospacing="1" w:line="240" w:lineRule="auto"/>
        <w:rPr>
          <w:rFonts w:eastAsia="Times New Roman" w:cstheme="minorHAnsi"/>
          <w:color w:val="151515"/>
        </w:rPr>
      </w:pPr>
      <w:r w:rsidRPr="00684C2A">
        <w:rPr>
          <w:rFonts w:cstheme="minorHAnsi"/>
        </w:rPr>
        <w:t xml:space="preserve">Region 1 - </w:t>
      </w:r>
      <w:r w:rsidRPr="00684C2A">
        <w:rPr>
          <w:rFonts w:eastAsia="Times New Roman" w:cstheme="minorHAnsi"/>
          <w:color w:val="151515"/>
        </w:rPr>
        <w:t>Connecticut, Maine, Massachusetts, New Hamps</w:t>
      </w:r>
      <w:r w:rsidR="00684C2A">
        <w:rPr>
          <w:rFonts w:eastAsia="Times New Roman" w:cstheme="minorHAnsi"/>
          <w:color w:val="151515"/>
        </w:rPr>
        <w:t>hire, Rhode Island, and Vermont</w:t>
      </w:r>
    </w:p>
    <w:p w:rsidR="00684C2A" w:rsidRPr="00684C2A" w:rsidRDefault="00684C2A" w:rsidP="00D135E8">
      <w:pPr>
        <w:numPr>
          <w:ilvl w:val="0"/>
          <w:numId w:val="3"/>
        </w:numPr>
        <w:shd w:val="clear" w:color="auto" w:fill="FFFFFF"/>
        <w:spacing w:before="100" w:beforeAutospacing="1" w:after="100" w:afterAutospacing="1" w:line="240" w:lineRule="auto"/>
        <w:rPr>
          <w:rFonts w:eastAsia="Times New Roman" w:cstheme="minorHAnsi"/>
          <w:color w:val="151515"/>
        </w:rPr>
      </w:pPr>
      <w:r w:rsidRPr="00684C2A">
        <w:rPr>
          <w:rFonts w:eastAsia="Times New Roman" w:cstheme="minorHAnsi"/>
          <w:color w:val="151515"/>
        </w:rPr>
        <w:t>Region 2 New Jersey, New York, Puerto Ri</w:t>
      </w:r>
      <w:r>
        <w:rPr>
          <w:rFonts w:eastAsia="Times New Roman" w:cstheme="minorHAnsi"/>
          <w:color w:val="151515"/>
        </w:rPr>
        <w:t>co, and the U.S. Virgin Islands</w:t>
      </w:r>
    </w:p>
    <w:p w:rsidR="00684C2A" w:rsidRPr="00684C2A" w:rsidRDefault="00684C2A" w:rsidP="00D135E8">
      <w:pPr>
        <w:numPr>
          <w:ilvl w:val="0"/>
          <w:numId w:val="4"/>
        </w:numPr>
        <w:shd w:val="clear" w:color="auto" w:fill="FFFFFF"/>
        <w:spacing w:before="100" w:beforeAutospacing="1" w:after="100" w:afterAutospacing="1" w:line="240" w:lineRule="auto"/>
        <w:rPr>
          <w:rFonts w:eastAsia="Times New Roman" w:cstheme="minorHAnsi"/>
          <w:color w:val="151515"/>
        </w:rPr>
      </w:pPr>
      <w:r w:rsidRPr="00684C2A">
        <w:rPr>
          <w:rFonts w:eastAsia="Times New Roman" w:cstheme="minorHAnsi"/>
          <w:color w:val="151515"/>
        </w:rPr>
        <w:t>Region 3 - Delaware, District of Columbia, Maryland, Pennsylvan</w:t>
      </w:r>
      <w:r>
        <w:rPr>
          <w:rFonts w:eastAsia="Times New Roman" w:cstheme="minorHAnsi"/>
          <w:color w:val="151515"/>
        </w:rPr>
        <w:t>ia, Virginia, and West Virginia</w:t>
      </w:r>
    </w:p>
    <w:p w:rsidR="00684C2A" w:rsidRPr="00684C2A" w:rsidRDefault="00684C2A" w:rsidP="00D135E8">
      <w:pPr>
        <w:numPr>
          <w:ilvl w:val="0"/>
          <w:numId w:val="1"/>
        </w:numPr>
        <w:shd w:val="clear" w:color="auto" w:fill="FFFFFF"/>
        <w:spacing w:before="100" w:beforeAutospacing="1" w:after="100" w:afterAutospacing="1" w:line="240" w:lineRule="auto"/>
        <w:rPr>
          <w:rFonts w:eastAsia="Times New Roman" w:cstheme="minorHAnsi"/>
          <w:color w:val="151515"/>
        </w:rPr>
      </w:pPr>
      <w:r w:rsidRPr="00684C2A">
        <w:rPr>
          <w:rFonts w:eastAsia="Times New Roman" w:cstheme="minorHAnsi"/>
          <w:color w:val="151515"/>
        </w:rPr>
        <w:t xml:space="preserve">Region 4 - </w:t>
      </w:r>
      <w:r w:rsidRPr="00684C2A">
        <w:rPr>
          <w:rFonts w:cstheme="minorHAnsi"/>
          <w:color w:val="151515"/>
        </w:rPr>
        <w:t>Alabama, Florida, Georgia, Kentucky, Mississippi, North Carolina, South Carolina, and Tennessee</w:t>
      </w:r>
    </w:p>
    <w:p w:rsidR="00684C2A" w:rsidRPr="00684C2A" w:rsidRDefault="00684C2A" w:rsidP="00D135E8">
      <w:pPr>
        <w:numPr>
          <w:ilvl w:val="0"/>
          <w:numId w:val="5"/>
        </w:numPr>
        <w:shd w:val="clear" w:color="auto" w:fill="FFFFFF"/>
        <w:spacing w:before="100" w:beforeAutospacing="1" w:after="100" w:afterAutospacing="1" w:line="240" w:lineRule="auto"/>
        <w:rPr>
          <w:rFonts w:eastAsia="Times New Roman" w:cstheme="minorHAnsi"/>
          <w:color w:val="151515"/>
        </w:rPr>
      </w:pPr>
      <w:r w:rsidRPr="00684C2A">
        <w:rPr>
          <w:rFonts w:cstheme="minorHAnsi"/>
          <w:color w:val="151515"/>
        </w:rPr>
        <w:t xml:space="preserve">Region 5 - </w:t>
      </w:r>
      <w:r w:rsidRPr="00684C2A">
        <w:rPr>
          <w:rFonts w:eastAsia="Times New Roman" w:cstheme="minorHAnsi"/>
          <w:color w:val="151515"/>
        </w:rPr>
        <w:t>Illinois, Indiana, Michigan,</w:t>
      </w:r>
      <w:r>
        <w:rPr>
          <w:rFonts w:eastAsia="Times New Roman" w:cstheme="minorHAnsi"/>
          <w:color w:val="151515"/>
        </w:rPr>
        <w:t xml:space="preserve"> Minnesota, Ohio, and Wisconsin</w:t>
      </w:r>
    </w:p>
    <w:p w:rsidR="00684C2A" w:rsidRPr="00684C2A" w:rsidRDefault="00684C2A" w:rsidP="00D135E8">
      <w:pPr>
        <w:numPr>
          <w:ilvl w:val="0"/>
          <w:numId w:val="6"/>
        </w:numPr>
        <w:shd w:val="clear" w:color="auto" w:fill="FFFFFF"/>
        <w:spacing w:before="100" w:beforeAutospacing="1" w:after="100" w:afterAutospacing="1" w:line="240" w:lineRule="auto"/>
        <w:rPr>
          <w:rFonts w:eastAsia="Times New Roman" w:cstheme="minorHAnsi"/>
          <w:color w:val="151515"/>
        </w:rPr>
      </w:pPr>
      <w:r w:rsidRPr="00684C2A">
        <w:rPr>
          <w:rFonts w:eastAsia="Times New Roman" w:cstheme="minorHAnsi"/>
          <w:color w:val="151515"/>
        </w:rPr>
        <w:t>Region 6 - Arkansas, Louisiana, New Mexico, Oklahoma,</w:t>
      </w:r>
      <w:r>
        <w:rPr>
          <w:rFonts w:eastAsia="Times New Roman" w:cstheme="minorHAnsi"/>
          <w:color w:val="151515"/>
        </w:rPr>
        <w:t xml:space="preserve"> and Texas</w:t>
      </w:r>
    </w:p>
    <w:p w:rsidR="00684C2A" w:rsidRPr="00684C2A" w:rsidRDefault="00684C2A" w:rsidP="00D135E8">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151515"/>
          <w:sz w:val="18"/>
          <w:szCs w:val="18"/>
        </w:rPr>
      </w:pPr>
      <w:r w:rsidRPr="00684C2A">
        <w:rPr>
          <w:rFonts w:eastAsia="Times New Roman" w:cstheme="minorHAnsi"/>
          <w:color w:val="151515"/>
        </w:rPr>
        <w:t xml:space="preserve">Region 7 </w:t>
      </w:r>
      <w:r>
        <w:rPr>
          <w:rFonts w:ascii="Lucida Sans Unicode" w:eastAsia="Times New Roman" w:hAnsi="Lucida Sans Unicode" w:cs="Lucida Sans Unicode"/>
          <w:color w:val="151515"/>
        </w:rPr>
        <w:t xml:space="preserve">- </w:t>
      </w:r>
      <w:r w:rsidRPr="00684C2A">
        <w:rPr>
          <w:rFonts w:eastAsia="Times New Roman" w:cstheme="minorHAnsi"/>
          <w:color w:val="151515"/>
        </w:rPr>
        <w:t>Iowa, Kansas, Missouri, and Nebraska</w:t>
      </w:r>
    </w:p>
    <w:p w:rsidR="00684C2A" w:rsidRPr="00684C2A" w:rsidRDefault="00684C2A" w:rsidP="00D135E8">
      <w:pPr>
        <w:numPr>
          <w:ilvl w:val="0"/>
          <w:numId w:val="8"/>
        </w:numPr>
        <w:shd w:val="clear" w:color="auto" w:fill="FFFFFF"/>
        <w:spacing w:before="100" w:beforeAutospacing="1" w:after="100" w:afterAutospacing="1" w:line="240" w:lineRule="auto"/>
        <w:rPr>
          <w:rFonts w:ascii="Lucida Sans Unicode" w:eastAsia="Times New Roman" w:hAnsi="Lucida Sans Unicode" w:cs="Lucida Sans Unicode"/>
          <w:color w:val="151515"/>
          <w:sz w:val="18"/>
          <w:szCs w:val="18"/>
        </w:rPr>
      </w:pPr>
      <w:r>
        <w:rPr>
          <w:rFonts w:eastAsia="Times New Roman" w:cstheme="minorHAnsi"/>
          <w:color w:val="151515"/>
        </w:rPr>
        <w:t xml:space="preserve">Region 8 - </w:t>
      </w:r>
      <w:r w:rsidRPr="00684C2A">
        <w:rPr>
          <w:rFonts w:eastAsia="Times New Roman" w:cstheme="minorHAnsi"/>
          <w:color w:val="151515"/>
        </w:rPr>
        <w:t>Colorado, Montana, North Dakota, South Dakota, Utah, and Wyoming</w:t>
      </w:r>
    </w:p>
    <w:p w:rsidR="00375E34" w:rsidRPr="00375E34" w:rsidRDefault="00375E34" w:rsidP="00D135E8">
      <w:pPr>
        <w:numPr>
          <w:ilvl w:val="0"/>
          <w:numId w:val="9"/>
        </w:numPr>
        <w:shd w:val="clear" w:color="auto" w:fill="FFFFFF"/>
        <w:spacing w:before="100" w:beforeAutospacing="1" w:after="100" w:afterAutospacing="1" w:line="240" w:lineRule="auto"/>
        <w:rPr>
          <w:rFonts w:eastAsia="Times New Roman" w:cstheme="minorHAnsi"/>
          <w:color w:val="151515"/>
        </w:rPr>
      </w:pPr>
      <w:r w:rsidRPr="00375E34">
        <w:rPr>
          <w:rFonts w:eastAsia="Times New Roman" w:cstheme="minorHAnsi"/>
          <w:color w:val="151515"/>
        </w:rPr>
        <w:t>Region 9</w:t>
      </w:r>
      <w:r>
        <w:rPr>
          <w:rFonts w:ascii="Lucida Sans Unicode" w:eastAsia="Times New Roman" w:hAnsi="Lucida Sans Unicode" w:cs="Lucida Sans Unicode"/>
          <w:color w:val="151515"/>
          <w:sz w:val="18"/>
          <w:szCs w:val="18"/>
        </w:rPr>
        <w:t xml:space="preserve"> - </w:t>
      </w:r>
      <w:r w:rsidRPr="00375E34">
        <w:rPr>
          <w:rFonts w:eastAsia="Times New Roman" w:cstheme="minorHAnsi"/>
          <w:color w:val="151515"/>
        </w:rPr>
        <w:t>Arizona, California, Hawaii, Nevada, American Samoa, Commonwealth of the Northern Mariana Islands, Federated States of Micronesia, Guam, Marshall Islands, and Republic of Palau)</w:t>
      </w:r>
    </w:p>
    <w:p w:rsidR="00684C2A" w:rsidRPr="0012170E" w:rsidRDefault="00375E34" w:rsidP="00D135E8">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151515"/>
          <w:sz w:val="18"/>
          <w:szCs w:val="18"/>
        </w:rPr>
      </w:pPr>
      <w:r w:rsidRPr="00375E34">
        <w:rPr>
          <w:rFonts w:eastAsia="Times New Roman" w:cstheme="minorHAnsi"/>
          <w:color w:val="151515"/>
        </w:rPr>
        <w:t>Region 10</w:t>
      </w:r>
      <w:r>
        <w:rPr>
          <w:rFonts w:ascii="Lucida Sans Unicode" w:eastAsia="Times New Roman" w:hAnsi="Lucida Sans Unicode" w:cs="Lucida Sans Unicode"/>
          <w:color w:val="151515"/>
          <w:sz w:val="18"/>
          <w:szCs w:val="18"/>
        </w:rPr>
        <w:t xml:space="preserve"> - </w:t>
      </w:r>
      <w:r w:rsidRPr="00375E34">
        <w:rPr>
          <w:rFonts w:cstheme="minorHAnsi"/>
          <w:color w:val="151515"/>
        </w:rPr>
        <w:t>Alaska, Idaho, Oregon, and Washington</w:t>
      </w:r>
    </w:p>
    <w:p w:rsidR="00130CCF" w:rsidRDefault="0012170E" w:rsidP="00401432">
      <w:pPr>
        <w:spacing w:line="240" w:lineRule="auto"/>
        <w:rPr>
          <w:rFonts w:cstheme="minorHAnsi"/>
        </w:rPr>
      </w:pPr>
      <w:r w:rsidRPr="00866C02">
        <w:rPr>
          <w:rFonts w:cstheme="minorHAnsi"/>
        </w:rPr>
        <w:t xml:space="preserve">Figures 6, 7, and 8 present scatter plots of the same data shown in Figures </w:t>
      </w:r>
      <w:r w:rsidR="00866C02" w:rsidRPr="00866C02">
        <w:rPr>
          <w:rFonts w:cstheme="minorHAnsi"/>
        </w:rPr>
        <w:t>1, 2, and 4</w:t>
      </w:r>
      <w:r w:rsidR="00866C02">
        <w:rPr>
          <w:rFonts w:cstheme="minorHAnsi"/>
        </w:rPr>
        <w:t xml:space="preserve">, </w:t>
      </w:r>
      <w:r w:rsidR="00866C02" w:rsidRPr="00866C02">
        <w:rPr>
          <w:rFonts w:cstheme="minorHAnsi"/>
        </w:rPr>
        <w:t xml:space="preserve"> but with the data organized by US EPA Region with the data for Region 1 appearing at the far left of each chart and the data for Region 10 at the far right.</w:t>
      </w:r>
      <w:r w:rsidR="00866C02">
        <w:rPr>
          <w:rFonts w:cstheme="minorHAnsi"/>
        </w:rPr>
        <w:t xml:space="preserve"> These chart comparisons don’t suggest any geographical influence on the ratio of population served by all CWS to the 2010</w:t>
      </w:r>
      <w:r w:rsidR="006C1267">
        <w:rPr>
          <w:rFonts w:cstheme="minorHAnsi"/>
        </w:rPr>
        <w:t xml:space="preserve"> census population, but a possible</w:t>
      </w:r>
      <w:r w:rsidR="00866C02">
        <w:rPr>
          <w:rFonts w:cstheme="minorHAnsi"/>
        </w:rPr>
        <w:t xml:space="preserve"> association between the </w:t>
      </w:r>
      <w:r w:rsidR="00F952DD">
        <w:rPr>
          <w:rFonts w:cstheme="minorHAnsi"/>
        </w:rPr>
        <w:t>population served by systems serving less than 10,000 people and state location is suggested as well as a similar association between the size of these small systems and state location</w:t>
      </w:r>
      <w:r w:rsidR="006C1267">
        <w:rPr>
          <w:rFonts w:cstheme="minorHAnsi"/>
        </w:rPr>
        <w:t xml:space="preserve">. Because of the aforementioned uncertainties in the basic data from which these charts are derived, it doesn’t seem justified to attempt any quantification of these probable associations, but the likelihood </w:t>
      </w:r>
      <w:r w:rsidR="00443989">
        <w:rPr>
          <w:rFonts w:cstheme="minorHAnsi"/>
        </w:rPr>
        <w:t xml:space="preserve">seems strong </w:t>
      </w:r>
      <w:r w:rsidR="006C1267">
        <w:rPr>
          <w:rFonts w:cstheme="minorHAnsi"/>
        </w:rPr>
        <w:t>that small systems in the middle to western part of the US represented by the center portions of the horizontal axes in these plots are generally larger and serve more of the total CWS populations</w:t>
      </w:r>
      <w:r w:rsidR="00443989">
        <w:rPr>
          <w:rFonts w:cstheme="minorHAnsi"/>
        </w:rPr>
        <w:t>.</w:t>
      </w:r>
    </w:p>
    <w:p w:rsidR="00E21C32" w:rsidRDefault="00E21C32" w:rsidP="00401432">
      <w:pPr>
        <w:spacing w:line="240" w:lineRule="auto"/>
        <w:rPr>
          <w:rFonts w:cstheme="minorHAnsi"/>
        </w:rPr>
      </w:pPr>
    </w:p>
    <w:p w:rsidR="00E21C32" w:rsidRDefault="00E21C32" w:rsidP="00401432">
      <w:pPr>
        <w:spacing w:line="240" w:lineRule="auto"/>
        <w:rPr>
          <w:rFonts w:cstheme="minorHAnsi"/>
        </w:rPr>
      </w:pPr>
    </w:p>
    <w:p w:rsidR="00E21C32" w:rsidRDefault="00E21C32" w:rsidP="00401432">
      <w:pPr>
        <w:spacing w:line="240" w:lineRule="auto"/>
        <w:rPr>
          <w:rFonts w:cstheme="minorHAnsi"/>
        </w:rPr>
      </w:pPr>
    </w:p>
    <w:p w:rsidR="00E21C32" w:rsidRDefault="00E21C32" w:rsidP="00401432">
      <w:pPr>
        <w:spacing w:line="240" w:lineRule="auto"/>
        <w:rPr>
          <w:rFonts w:cstheme="minorHAnsi"/>
        </w:rPr>
      </w:pPr>
    </w:p>
    <w:p w:rsidR="00E21C32" w:rsidRPr="00866C02" w:rsidRDefault="00E21C32" w:rsidP="00E21C32">
      <w:pPr>
        <w:spacing w:line="240" w:lineRule="auto"/>
        <w:jc w:val="center"/>
        <w:rPr>
          <w:rFonts w:cstheme="minorHAnsi"/>
        </w:rPr>
      </w:pPr>
      <w:r>
        <w:rPr>
          <w:rFonts w:cstheme="minorHAnsi"/>
        </w:rPr>
        <w:lastRenderedPageBreak/>
        <w:t>Figure 6</w:t>
      </w:r>
    </w:p>
    <w:p w:rsidR="0059271D" w:rsidRDefault="00401432" w:rsidP="0012170E">
      <w:pPr>
        <w:spacing w:line="240" w:lineRule="auto"/>
        <w:jc w:val="center"/>
        <w:rPr>
          <w:rFonts w:ascii="Lucida Sans Unicode" w:hAnsi="Lucida Sans Unicode" w:cs="Lucida Sans Unicode"/>
          <w:sz w:val="16"/>
          <w:szCs w:val="16"/>
        </w:rPr>
      </w:pPr>
      <w:r w:rsidRPr="00401432">
        <w:rPr>
          <w:rFonts w:ascii="Lucida Sans Unicode" w:hAnsi="Lucida Sans Unicode" w:cs="Lucida Sans Unicode"/>
          <w:noProof/>
          <w:sz w:val="16"/>
          <w:szCs w:val="16"/>
        </w:rPr>
        <w:drawing>
          <wp:inline distT="0" distB="0" distL="0" distR="0">
            <wp:extent cx="4573371" cy="2315603"/>
            <wp:effectExtent l="19050" t="0" r="17679" b="8497"/>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60A7" w:rsidRPr="00E21C32" w:rsidRDefault="00E21C32" w:rsidP="00E21C32">
      <w:pPr>
        <w:spacing w:line="240" w:lineRule="auto"/>
        <w:jc w:val="center"/>
        <w:rPr>
          <w:rFonts w:cstheme="minorHAnsi"/>
        </w:rPr>
      </w:pPr>
      <w:r w:rsidRPr="00E21C32">
        <w:rPr>
          <w:rFonts w:cstheme="minorHAnsi"/>
        </w:rPr>
        <w:t>Figure 7</w:t>
      </w:r>
    </w:p>
    <w:p w:rsidR="00B960A7" w:rsidRDefault="005B5FB8" w:rsidP="0012170E">
      <w:pPr>
        <w:spacing w:line="240" w:lineRule="auto"/>
        <w:jc w:val="center"/>
        <w:rPr>
          <w:rFonts w:ascii="Lucida Sans Unicode" w:hAnsi="Lucida Sans Unicode" w:cs="Lucida Sans Unicode"/>
          <w:sz w:val="16"/>
          <w:szCs w:val="16"/>
        </w:rPr>
      </w:pPr>
      <w:r w:rsidRPr="005B5FB8">
        <w:rPr>
          <w:rFonts w:ascii="Lucida Sans Unicode" w:hAnsi="Lucida Sans Unicode" w:cs="Lucida Sans Unicode"/>
          <w:noProof/>
          <w:sz w:val="16"/>
          <w:szCs w:val="16"/>
        </w:rPr>
        <w:drawing>
          <wp:inline distT="0" distB="0" distL="0" distR="0">
            <wp:extent cx="4580356" cy="2637946"/>
            <wp:effectExtent l="19050" t="0" r="10694"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C32" w:rsidRDefault="00E21C32" w:rsidP="0012170E">
      <w:pPr>
        <w:spacing w:line="240" w:lineRule="auto"/>
        <w:jc w:val="center"/>
        <w:rPr>
          <w:rFonts w:cstheme="minorHAnsi"/>
        </w:rPr>
      </w:pPr>
      <w:r w:rsidRPr="00E21C32">
        <w:rPr>
          <w:rFonts w:cstheme="minorHAnsi"/>
        </w:rPr>
        <w:t>Figure 8</w:t>
      </w:r>
    </w:p>
    <w:p w:rsidR="00E21C32" w:rsidRPr="00E21C32" w:rsidRDefault="00E21C32" w:rsidP="0012170E">
      <w:pPr>
        <w:spacing w:line="240" w:lineRule="auto"/>
        <w:jc w:val="center"/>
        <w:rPr>
          <w:rFonts w:cstheme="minorHAnsi"/>
        </w:rPr>
      </w:pPr>
      <w:r w:rsidRPr="00E21C32">
        <w:rPr>
          <w:rFonts w:cstheme="minorHAnsi"/>
          <w:noProof/>
        </w:rPr>
        <w:drawing>
          <wp:inline distT="0" distB="0" distL="0" distR="0">
            <wp:extent cx="4573371" cy="2295868"/>
            <wp:effectExtent l="19050" t="0" r="17679" b="9182"/>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C32" w:rsidRDefault="00E21C32" w:rsidP="0012170E">
      <w:pPr>
        <w:spacing w:line="240" w:lineRule="auto"/>
        <w:jc w:val="center"/>
        <w:rPr>
          <w:rFonts w:ascii="Lucida Sans Unicode" w:hAnsi="Lucida Sans Unicode" w:cs="Lucida Sans Unicode"/>
          <w:sz w:val="16"/>
          <w:szCs w:val="16"/>
        </w:rPr>
        <w:sectPr w:rsidR="00E21C32" w:rsidSect="00E21C32">
          <w:pgSz w:w="12240" w:h="15840"/>
          <w:pgMar w:top="1440" w:right="1440" w:bottom="720" w:left="1440" w:header="720" w:footer="288" w:gutter="0"/>
          <w:cols w:space="720"/>
          <w:docGrid w:linePitch="360"/>
        </w:sectPr>
      </w:pPr>
    </w:p>
    <w:p w:rsidR="0059271D" w:rsidRPr="001A5502" w:rsidRDefault="00272BBA" w:rsidP="00272BBA">
      <w:pPr>
        <w:spacing w:line="240" w:lineRule="auto"/>
        <w:rPr>
          <w:rFonts w:cstheme="minorHAnsi"/>
        </w:rPr>
      </w:pPr>
      <w:r w:rsidRPr="001A5502">
        <w:rPr>
          <w:rFonts w:cstheme="minorHAnsi"/>
        </w:rPr>
        <w:lastRenderedPageBreak/>
        <w:t>Non-Community Systems</w:t>
      </w:r>
    </w:p>
    <w:p w:rsidR="00272BBA" w:rsidRPr="001A5502" w:rsidRDefault="001A5502" w:rsidP="004D4CCD">
      <w:pPr>
        <w:spacing w:before="240" w:line="240" w:lineRule="auto"/>
        <w:rPr>
          <w:rFonts w:cstheme="minorHAnsi"/>
        </w:rPr>
      </w:pPr>
      <w:r w:rsidRPr="001A5502">
        <w:rPr>
          <w:rFonts w:cstheme="minorHAnsi"/>
        </w:rPr>
        <w:t>The US EPA defines non-community systems as either non-transient (NTNCWS) or transien</w:t>
      </w:r>
      <w:r w:rsidR="003B0640">
        <w:rPr>
          <w:rFonts w:cstheme="minorHAnsi"/>
        </w:rPr>
        <w:t>t (TNCWS). Exact definitions from EPA are</w:t>
      </w:r>
      <w:r w:rsidR="004D4CCD">
        <w:rPr>
          <w:rFonts w:cstheme="minorHAnsi"/>
        </w:rPr>
        <w:t xml:space="preserve"> (USEPA Website 2)</w:t>
      </w:r>
      <w:r w:rsidR="003B0640">
        <w:rPr>
          <w:rFonts w:cstheme="minorHAnsi"/>
        </w:rPr>
        <w:t xml:space="preserve">: </w:t>
      </w:r>
    </w:p>
    <w:p w:rsidR="003B0640" w:rsidRDefault="001A5502" w:rsidP="003B0640">
      <w:pPr>
        <w:spacing w:line="240" w:lineRule="auto"/>
        <w:rPr>
          <w:rFonts w:cstheme="minorHAnsi"/>
        </w:rPr>
      </w:pPr>
      <w:r w:rsidRPr="001A5502">
        <w:rPr>
          <w:rFonts w:cstheme="minorHAnsi"/>
        </w:rPr>
        <w:t xml:space="preserve">NTNCWS - </w:t>
      </w:r>
      <w:r w:rsidRPr="001A5502">
        <w:rPr>
          <w:rFonts w:cstheme="minorHAnsi"/>
          <w:color w:val="151515"/>
        </w:rPr>
        <w:t>A public water system that regularly supplies water to at least 25 of the same people at least six months per year, but not year-round. Some examples are schools, factories, office buildings, and hospitals which have their own water systems.</w:t>
      </w:r>
      <w:r w:rsidR="003B0640" w:rsidRPr="003B0640">
        <w:rPr>
          <w:rFonts w:cstheme="minorHAnsi"/>
        </w:rPr>
        <w:t xml:space="preserve"> </w:t>
      </w:r>
    </w:p>
    <w:p w:rsidR="001A5502" w:rsidRPr="001A5502" w:rsidRDefault="001A5502" w:rsidP="003B0640">
      <w:pPr>
        <w:spacing w:line="240" w:lineRule="auto"/>
        <w:rPr>
          <w:rFonts w:eastAsia="Times New Roman" w:cstheme="minorHAnsi"/>
          <w:color w:val="151515"/>
        </w:rPr>
      </w:pPr>
      <w:r w:rsidRPr="001A5502">
        <w:rPr>
          <w:rFonts w:cstheme="minorHAnsi"/>
          <w:color w:val="151515"/>
        </w:rPr>
        <w:t xml:space="preserve">TNCWS - </w:t>
      </w:r>
      <w:r w:rsidRPr="001A5502">
        <w:rPr>
          <w:rFonts w:eastAsia="Times New Roman" w:cstheme="minorHAnsi"/>
          <w:color w:val="151515"/>
        </w:rPr>
        <w:t>A public water system that provides water in a place such as a gas station or campground where people do not remain for long periods of time.</w:t>
      </w:r>
      <w:r w:rsidR="003B0640" w:rsidRPr="003B0640">
        <w:rPr>
          <w:rFonts w:cstheme="minorHAnsi"/>
        </w:rPr>
        <w:t xml:space="preserve"> </w:t>
      </w:r>
    </w:p>
    <w:p w:rsidR="001A5502" w:rsidRDefault="001A5502" w:rsidP="00272BBA">
      <w:pPr>
        <w:spacing w:line="240" w:lineRule="auto"/>
        <w:rPr>
          <w:rFonts w:cstheme="minorHAnsi"/>
        </w:rPr>
      </w:pPr>
      <w:r>
        <w:rPr>
          <w:rFonts w:cstheme="minorHAnsi"/>
        </w:rPr>
        <w:t xml:space="preserve">As has been shown in previous paragraphs, these systems </w:t>
      </w:r>
      <w:r w:rsidR="0094778B">
        <w:rPr>
          <w:rFonts w:cstheme="minorHAnsi"/>
        </w:rPr>
        <w:t xml:space="preserve">don’t supply a significant portion of the public water delivered in this country, but they are part of the small community segment of the industry as they generally serve fewer than 10,000 people. </w:t>
      </w:r>
      <w:r w:rsidR="003B0640">
        <w:rPr>
          <w:rFonts w:cstheme="minorHAnsi"/>
        </w:rPr>
        <w:t>The numbers of NTNCWS</w:t>
      </w:r>
      <w:r w:rsidR="0059795B">
        <w:rPr>
          <w:rFonts w:cstheme="minorHAnsi"/>
        </w:rPr>
        <w:t xml:space="preserve"> is about the same magnitude as small CWS, the average per state being 357 </w:t>
      </w:r>
      <w:r w:rsidR="0058294F">
        <w:rPr>
          <w:rFonts w:cstheme="minorHAnsi"/>
        </w:rPr>
        <w:t>with a minimum per state of 14 and a m</w:t>
      </w:r>
      <w:r w:rsidR="003B0640">
        <w:rPr>
          <w:rFonts w:cstheme="minorHAnsi"/>
        </w:rPr>
        <w:t>aximum of 1499. However, TNTCWS</w:t>
      </w:r>
      <w:r w:rsidR="0058294F">
        <w:rPr>
          <w:rFonts w:cstheme="minorHAnsi"/>
        </w:rPr>
        <w:t xml:space="preserve"> are more numerous because of their nature, the corresponding numbers for this category being 1646, 2 and 9,492. As with most of the parameters discussed in this evaluation, there is a wide variation in the numbers of both NTNCWSs and TNCWSs per state as is shown in the scatter plots of Figures 9 and 10.</w:t>
      </w:r>
    </w:p>
    <w:p w:rsidR="0058294F" w:rsidRDefault="0058294F" w:rsidP="0058294F">
      <w:pPr>
        <w:spacing w:line="240" w:lineRule="auto"/>
        <w:jc w:val="center"/>
        <w:rPr>
          <w:rFonts w:cstheme="minorHAnsi"/>
        </w:rPr>
      </w:pPr>
      <w:r>
        <w:rPr>
          <w:rFonts w:cstheme="minorHAnsi"/>
        </w:rPr>
        <w:t>Figure 9</w:t>
      </w:r>
    </w:p>
    <w:p w:rsidR="0058294F" w:rsidRDefault="0058294F" w:rsidP="0058294F">
      <w:pPr>
        <w:spacing w:line="240" w:lineRule="auto"/>
        <w:jc w:val="center"/>
        <w:rPr>
          <w:rFonts w:cstheme="minorHAnsi"/>
        </w:rPr>
      </w:pPr>
      <w:r w:rsidRPr="0058294F">
        <w:rPr>
          <w:rFonts w:cstheme="minorHAnsi"/>
          <w:noProof/>
        </w:rPr>
        <w:drawing>
          <wp:inline distT="0" distB="0" distL="0" distR="0">
            <wp:extent cx="4577181" cy="1809064"/>
            <wp:effectExtent l="19050" t="0" r="13869" b="686"/>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6354" w:rsidRDefault="000E6354" w:rsidP="0058294F">
      <w:pPr>
        <w:spacing w:line="240" w:lineRule="auto"/>
        <w:jc w:val="center"/>
        <w:rPr>
          <w:rFonts w:cstheme="minorHAnsi"/>
        </w:rPr>
      </w:pPr>
      <w:r>
        <w:rPr>
          <w:rFonts w:cstheme="minorHAnsi"/>
        </w:rPr>
        <w:t>Figure 10</w:t>
      </w:r>
    </w:p>
    <w:p w:rsidR="000E6354" w:rsidRDefault="000E6354" w:rsidP="0058294F">
      <w:pPr>
        <w:spacing w:line="240" w:lineRule="auto"/>
        <w:jc w:val="center"/>
        <w:rPr>
          <w:rFonts w:cstheme="minorHAnsi"/>
        </w:rPr>
      </w:pPr>
      <w:r w:rsidRPr="000E6354">
        <w:rPr>
          <w:rFonts w:cstheme="minorHAnsi"/>
          <w:noProof/>
        </w:rPr>
        <w:drawing>
          <wp:inline distT="0" distB="0" distL="0" distR="0">
            <wp:extent cx="4575276" cy="2335338"/>
            <wp:effectExtent l="19050" t="0" r="15774" b="7812"/>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6354" w:rsidRDefault="000E6354" w:rsidP="000E6354">
      <w:pPr>
        <w:spacing w:line="240" w:lineRule="auto"/>
        <w:rPr>
          <w:rFonts w:cstheme="minorHAnsi"/>
        </w:rPr>
      </w:pPr>
      <w:r>
        <w:rPr>
          <w:rFonts w:cstheme="minorHAnsi"/>
        </w:rPr>
        <w:lastRenderedPageBreak/>
        <w:t xml:space="preserve">However, when these same parameters are plotted by region (East to West), </w:t>
      </w:r>
      <w:r w:rsidR="00060C42">
        <w:rPr>
          <w:rFonts w:cstheme="minorHAnsi"/>
        </w:rPr>
        <w:t>a curious demarcation in values seems to take place at Region 6 (Midwest) with the dispersion in the western half of the country being much less and the and the numbers of systems being fewer. The reason for these differences is not known.</w:t>
      </w:r>
    </w:p>
    <w:p w:rsidR="00060C42" w:rsidRDefault="00060C42" w:rsidP="00060C42">
      <w:pPr>
        <w:spacing w:line="240" w:lineRule="auto"/>
        <w:jc w:val="center"/>
        <w:rPr>
          <w:rFonts w:cstheme="minorHAnsi"/>
        </w:rPr>
      </w:pPr>
      <w:r>
        <w:rPr>
          <w:rFonts w:cstheme="minorHAnsi"/>
        </w:rPr>
        <w:t>Figure 11</w:t>
      </w:r>
    </w:p>
    <w:p w:rsidR="00060C42" w:rsidRDefault="00060C42" w:rsidP="00060C42">
      <w:pPr>
        <w:spacing w:line="240" w:lineRule="auto"/>
        <w:jc w:val="center"/>
        <w:rPr>
          <w:rFonts w:cstheme="minorHAnsi"/>
        </w:rPr>
      </w:pPr>
      <w:r w:rsidRPr="00060C42">
        <w:rPr>
          <w:rFonts w:cstheme="minorHAnsi"/>
          <w:noProof/>
        </w:rPr>
        <w:drawing>
          <wp:inline distT="0" distB="0" distL="0" distR="0">
            <wp:extent cx="4572000" cy="2743200"/>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0C42" w:rsidRDefault="00060C42" w:rsidP="00060C42">
      <w:pPr>
        <w:spacing w:line="240" w:lineRule="auto"/>
        <w:jc w:val="center"/>
        <w:rPr>
          <w:rFonts w:cstheme="minorHAnsi"/>
        </w:rPr>
      </w:pPr>
      <w:r>
        <w:rPr>
          <w:rFonts w:cstheme="minorHAnsi"/>
        </w:rPr>
        <w:t>Figure 12</w:t>
      </w:r>
    </w:p>
    <w:p w:rsidR="00060C42" w:rsidRDefault="00060C42" w:rsidP="00060C42">
      <w:pPr>
        <w:spacing w:line="240" w:lineRule="auto"/>
        <w:jc w:val="center"/>
        <w:rPr>
          <w:rFonts w:cstheme="minorHAnsi"/>
        </w:rPr>
      </w:pPr>
      <w:r w:rsidRPr="00060C42">
        <w:rPr>
          <w:rFonts w:cstheme="minorHAnsi"/>
          <w:noProof/>
        </w:rPr>
        <w:drawing>
          <wp:inline distT="0" distB="0" distL="0" distR="0">
            <wp:extent cx="4572000" cy="2743200"/>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7616" w:rsidRDefault="005B7616" w:rsidP="00060C42">
      <w:pPr>
        <w:spacing w:line="240" w:lineRule="auto"/>
        <w:jc w:val="center"/>
        <w:rPr>
          <w:rFonts w:cstheme="minorHAnsi"/>
        </w:rPr>
      </w:pPr>
    </w:p>
    <w:p w:rsidR="005B7616" w:rsidRDefault="005B7616" w:rsidP="00060C42">
      <w:pPr>
        <w:spacing w:line="240" w:lineRule="auto"/>
        <w:jc w:val="center"/>
        <w:rPr>
          <w:rFonts w:cstheme="minorHAnsi"/>
        </w:rPr>
      </w:pPr>
    </w:p>
    <w:p w:rsidR="005B7616" w:rsidRDefault="005B7616" w:rsidP="00060C42">
      <w:pPr>
        <w:spacing w:line="240" w:lineRule="auto"/>
        <w:jc w:val="center"/>
        <w:rPr>
          <w:rFonts w:cstheme="minorHAnsi"/>
        </w:rPr>
        <w:sectPr w:rsidR="005B7616" w:rsidSect="000E6354">
          <w:pgSz w:w="12240" w:h="15840"/>
          <w:pgMar w:top="1440" w:right="1440" w:bottom="720" w:left="1440" w:header="720" w:footer="288" w:gutter="0"/>
          <w:cols w:space="720"/>
          <w:docGrid w:linePitch="360"/>
        </w:sectPr>
      </w:pPr>
    </w:p>
    <w:p w:rsidR="005B7616" w:rsidRDefault="005B7616" w:rsidP="005B7616">
      <w:pPr>
        <w:spacing w:line="240" w:lineRule="auto"/>
        <w:rPr>
          <w:rFonts w:cstheme="minorHAnsi"/>
        </w:rPr>
      </w:pPr>
      <w:r w:rsidRPr="005B7616">
        <w:rPr>
          <w:rFonts w:cstheme="minorHAnsi"/>
          <w:b/>
          <w:u w:val="single"/>
        </w:rPr>
        <w:lastRenderedPageBreak/>
        <w:t>Discussion</w:t>
      </w:r>
    </w:p>
    <w:p w:rsidR="005B7616" w:rsidRDefault="005B7616" w:rsidP="005B7616">
      <w:pPr>
        <w:spacing w:line="240" w:lineRule="auto"/>
        <w:rPr>
          <w:rFonts w:cstheme="minorHAnsi"/>
        </w:rPr>
      </w:pPr>
      <w:r>
        <w:rPr>
          <w:rFonts w:cstheme="minorHAnsi"/>
        </w:rPr>
        <w:t>It is apparent from the data presented in the previous section that the nature of small public water systems has changed significantly since the rapid proliferation of these systems that began in the 1960s. To facilitate discussion of these changes, the current values of selected demographic parameters of these systems as reflected in the 2010 SDWIS Pivot Tables are summarized in Table 1.</w:t>
      </w:r>
    </w:p>
    <w:p w:rsidR="005B7616" w:rsidRDefault="005B7616" w:rsidP="005B7616">
      <w:pPr>
        <w:spacing w:line="240" w:lineRule="auto"/>
        <w:jc w:val="center"/>
        <w:rPr>
          <w:rFonts w:cstheme="minorHAnsi"/>
        </w:rPr>
      </w:pPr>
      <w:r>
        <w:rPr>
          <w:rFonts w:cstheme="minorHAnsi"/>
        </w:rPr>
        <w:t>Table 1</w:t>
      </w:r>
    </w:p>
    <w:p w:rsidR="00111E34" w:rsidRDefault="00CA2A35" w:rsidP="005B7616">
      <w:pPr>
        <w:spacing w:line="240" w:lineRule="auto"/>
        <w:jc w:val="center"/>
        <w:rPr>
          <w:rFonts w:cstheme="minorHAnsi"/>
        </w:rPr>
      </w:pPr>
      <w:r>
        <w:rPr>
          <w:rFonts w:cstheme="minorHAnsi"/>
        </w:rPr>
        <w:t>System Characteristics</w:t>
      </w:r>
    </w:p>
    <w:p w:rsidR="003C744D" w:rsidRDefault="003C744D" w:rsidP="00CA2A35">
      <w:pPr>
        <w:spacing w:line="240" w:lineRule="auto"/>
        <w:rPr>
          <w:rFonts w:cstheme="minorHAnsi"/>
          <w:b/>
        </w:rPr>
      </w:pPr>
      <w:r>
        <w:rPr>
          <w:rFonts w:cstheme="minorHAnsi"/>
        </w:rPr>
        <w:tab/>
      </w:r>
      <w:r w:rsidRPr="003C744D">
        <w:rPr>
          <w:rFonts w:cstheme="minorHAnsi"/>
          <w:b/>
          <w:u w:val="single"/>
        </w:rPr>
        <w:t>Characteristic</w:t>
      </w:r>
      <w:r w:rsidRPr="003C744D">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3C744D">
        <w:rPr>
          <w:rFonts w:cstheme="minorHAnsi"/>
          <w:b/>
          <w:u w:val="single"/>
        </w:rPr>
        <w:t>Average</w:t>
      </w:r>
      <w:r w:rsidR="005C54F3" w:rsidRPr="005C54F3">
        <w:rPr>
          <w:rFonts w:cstheme="minorHAnsi"/>
          <w:b/>
        </w:rPr>
        <w:t xml:space="preserve">    </w:t>
      </w:r>
      <w:r w:rsidRPr="003C744D">
        <w:rPr>
          <w:rFonts w:cstheme="minorHAnsi"/>
          <w:b/>
          <w:u w:val="single"/>
        </w:rPr>
        <w:t>Minimum</w:t>
      </w:r>
      <w:r w:rsidR="005C54F3" w:rsidRPr="005C54F3">
        <w:rPr>
          <w:rFonts w:cstheme="minorHAnsi"/>
          <w:b/>
        </w:rPr>
        <w:t xml:space="preserve">    </w:t>
      </w:r>
      <w:r w:rsidRPr="003C744D">
        <w:rPr>
          <w:rFonts w:cstheme="minorHAnsi"/>
          <w:b/>
          <w:u w:val="single"/>
        </w:rPr>
        <w:t>Maximu</w:t>
      </w:r>
      <w:r>
        <w:rPr>
          <w:rFonts w:cstheme="minorHAnsi"/>
          <w:b/>
          <w:u w:val="single"/>
        </w:rPr>
        <w:t>m</w:t>
      </w:r>
    </w:p>
    <w:p w:rsidR="005B7616" w:rsidRDefault="003C744D" w:rsidP="005C54F3">
      <w:pPr>
        <w:spacing w:line="240" w:lineRule="auto"/>
        <w:rPr>
          <w:rFonts w:cstheme="minorHAnsi"/>
        </w:rPr>
      </w:pPr>
      <w:r>
        <w:rPr>
          <w:rFonts w:cstheme="minorHAnsi"/>
          <w:b/>
        </w:rPr>
        <w:tab/>
      </w:r>
      <w:r>
        <w:rPr>
          <w:rFonts w:cstheme="minorHAnsi"/>
        </w:rPr>
        <w:t>Percent of 2010 Census Population Served by CWS</w:t>
      </w:r>
      <w:r w:rsidR="005C54F3">
        <w:rPr>
          <w:rFonts w:cstheme="minorHAnsi"/>
        </w:rPr>
        <w:t xml:space="preserve">                  89              50  </w:t>
      </w:r>
      <w:r w:rsidR="00077777">
        <w:rPr>
          <w:rFonts w:cstheme="minorHAnsi"/>
        </w:rPr>
        <w:t xml:space="preserve">  </w:t>
      </w:r>
      <w:r w:rsidR="005C54F3">
        <w:rPr>
          <w:rFonts w:cstheme="minorHAnsi"/>
        </w:rPr>
        <w:t xml:space="preserve">            142</w:t>
      </w:r>
    </w:p>
    <w:p w:rsidR="005C54F3" w:rsidRDefault="005C54F3" w:rsidP="005C54F3">
      <w:pPr>
        <w:spacing w:line="240" w:lineRule="auto"/>
        <w:rPr>
          <w:rFonts w:cstheme="minorHAnsi"/>
        </w:rPr>
      </w:pPr>
      <w:r>
        <w:rPr>
          <w:rFonts w:cstheme="minorHAnsi"/>
        </w:rPr>
        <w:tab/>
        <w:t xml:space="preserve">Percent of CWS Population Served by Small Systems               26              </w:t>
      </w:r>
      <w:r w:rsidR="00077777">
        <w:rPr>
          <w:rFonts w:cstheme="minorHAnsi"/>
        </w:rPr>
        <w:t xml:space="preserve"> </w:t>
      </w:r>
      <w:r>
        <w:rPr>
          <w:rFonts w:cstheme="minorHAnsi"/>
        </w:rPr>
        <w:t xml:space="preserve">  6       </w:t>
      </w:r>
      <w:r w:rsidR="00077777">
        <w:rPr>
          <w:rFonts w:cstheme="minorHAnsi"/>
        </w:rPr>
        <w:t xml:space="preserve"> </w:t>
      </w:r>
      <w:r>
        <w:rPr>
          <w:rFonts w:cstheme="minorHAnsi"/>
        </w:rPr>
        <w:t xml:space="preserve">         71</w:t>
      </w:r>
    </w:p>
    <w:p w:rsidR="00071733" w:rsidRDefault="005C54F3" w:rsidP="005C54F3">
      <w:pPr>
        <w:spacing w:line="240" w:lineRule="auto"/>
        <w:rPr>
          <w:rFonts w:cstheme="minorHAnsi"/>
        </w:rPr>
      </w:pPr>
      <w:r>
        <w:rPr>
          <w:rFonts w:cstheme="minorHAnsi"/>
        </w:rPr>
        <w:tab/>
        <w:t>Size of Small Community Systems – Meters Served                469            121</w:t>
      </w:r>
      <w:r w:rsidR="00071733">
        <w:rPr>
          <w:rFonts w:cstheme="minorHAnsi"/>
        </w:rPr>
        <w:t xml:space="preserve">    </w:t>
      </w:r>
      <w:r w:rsidR="00077777">
        <w:rPr>
          <w:rFonts w:cstheme="minorHAnsi"/>
        </w:rPr>
        <w:t xml:space="preserve">   </w:t>
      </w:r>
      <w:r w:rsidR="00071733">
        <w:rPr>
          <w:rFonts w:cstheme="minorHAnsi"/>
        </w:rPr>
        <w:t xml:space="preserve">      1275</w:t>
      </w:r>
    </w:p>
    <w:p w:rsidR="00071733" w:rsidRDefault="00071733" w:rsidP="005C54F3">
      <w:pPr>
        <w:spacing w:line="240" w:lineRule="auto"/>
        <w:rPr>
          <w:rFonts w:cstheme="minorHAnsi"/>
        </w:rPr>
      </w:pPr>
      <w:r>
        <w:rPr>
          <w:rFonts w:cstheme="minorHAnsi"/>
        </w:rPr>
        <w:tab/>
        <w:t>Number of Small Community Systems</w:t>
      </w:r>
      <w:r>
        <w:rPr>
          <w:rFonts w:cstheme="minorHAnsi"/>
        </w:rPr>
        <w:tab/>
      </w:r>
      <w:r>
        <w:rPr>
          <w:rFonts w:cstheme="minorHAnsi"/>
        </w:rPr>
        <w:tab/>
      </w:r>
      <w:r>
        <w:rPr>
          <w:rFonts w:cstheme="minorHAnsi"/>
        </w:rPr>
        <w:tab/>
        <w:t xml:space="preserve">     919               73    </w:t>
      </w:r>
      <w:r w:rsidR="00077777">
        <w:rPr>
          <w:rFonts w:cstheme="minorHAnsi"/>
        </w:rPr>
        <w:t xml:space="preserve"> </w:t>
      </w:r>
      <w:r>
        <w:rPr>
          <w:rFonts w:cstheme="minorHAnsi"/>
        </w:rPr>
        <w:t xml:space="preserve">       4419</w:t>
      </w:r>
    </w:p>
    <w:p w:rsidR="00071733" w:rsidRDefault="00071733" w:rsidP="00071733">
      <w:pPr>
        <w:spacing w:line="240" w:lineRule="auto"/>
        <w:ind w:firstLine="720"/>
        <w:rPr>
          <w:rFonts w:cstheme="minorHAnsi"/>
        </w:rPr>
      </w:pPr>
      <w:r>
        <w:rPr>
          <w:rFonts w:cstheme="minorHAnsi"/>
        </w:rPr>
        <w:t>Number of Non Transient Non Community Systems</w:t>
      </w:r>
      <w:r>
        <w:rPr>
          <w:rFonts w:cstheme="minorHAnsi"/>
        </w:rPr>
        <w:tab/>
        <w:t xml:space="preserve">     357         </w:t>
      </w:r>
      <w:r w:rsidR="00AE7170">
        <w:rPr>
          <w:rFonts w:cstheme="minorHAnsi"/>
        </w:rPr>
        <w:t xml:space="preserve">   </w:t>
      </w:r>
      <w:r>
        <w:rPr>
          <w:rFonts w:cstheme="minorHAnsi"/>
        </w:rPr>
        <w:t xml:space="preserve">   14   </w:t>
      </w:r>
      <w:r w:rsidR="00077777">
        <w:rPr>
          <w:rFonts w:cstheme="minorHAnsi"/>
        </w:rPr>
        <w:t xml:space="preserve"> </w:t>
      </w:r>
      <w:r>
        <w:rPr>
          <w:rFonts w:cstheme="minorHAnsi"/>
        </w:rPr>
        <w:t xml:space="preserve"> </w:t>
      </w:r>
      <w:r w:rsidR="00AE7170">
        <w:rPr>
          <w:rFonts w:cstheme="minorHAnsi"/>
        </w:rPr>
        <w:t xml:space="preserve"> </w:t>
      </w:r>
      <w:r>
        <w:rPr>
          <w:rFonts w:cstheme="minorHAnsi"/>
        </w:rPr>
        <w:t xml:space="preserve">      1499</w:t>
      </w:r>
    </w:p>
    <w:p w:rsidR="005C54F3" w:rsidRDefault="00071733" w:rsidP="00831BF7">
      <w:pPr>
        <w:spacing w:line="240" w:lineRule="auto"/>
        <w:ind w:firstLine="720"/>
        <w:rPr>
          <w:rFonts w:cstheme="minorHAnsi"/>
        </w:rPr>
      </w:pPr>
      <w:r>
        <w:rPr>
          <w:rFonts w:cstheme="minorHAnsi"/>
        </w:rPr>
        <w:t xml:space="preserve">Number of Transient Non community Systems            </w:t>
      </w:r>
      <w:r w:rsidR="00AE7170">
        <w:rPr>
          <w:rFonts w:cstheme="minorHAnsi"/>
        </w:rPr>
        <w:t xml:space="preserve">  </w:t>
      </w:r>
      <w:r>
        <w:rPr>
          <w:rFonts w:cstheme="minorHAnsi"/>
        </w:rPr>
        <w:t xml:space="preserve">       1656 </w:t>
      </w:r>
      <w:r>
        <w:rPr>
          <w:rFonts w:cstheme="minorHAnsi"/>
        </w:rPr>
        <w:tab/>
      </w:r>
      <w:r w:rsidR="00AE7170">
        <w:rPr>
          <w:rFonts w:cstheme="minorHAnsi"/>
        </w:rPr>
        <w:t xml:space="preserve">            </w:t>
      </w:r>
      <w:r>
        <w:rPr>
          <w:rFonts w:cstheme="minorHAnsi"/>
        </w:rPr>
        <w:t xml:space="preserve">  2   </w:t>
      </w:r>
      <w:r w:rsidR="00077777">
        <w:rPr>
          <w:rFonts w:cstheme="minorHAnsi"/>
        </w:rPr>
        <w:t xml:space="preserve">  </w:t>
      </w:r>
      <w:r>
        <w:rPr>
          <w:rFonts w:cstheme="minorHAnsi"/>
        </w:rPr>
        <w:t xml:space="preserve">        9492</w:t>
      </w:r>
    </w:p>
    <w:p w:rsidR="00692777" w:rsidRDefault="00692777" w:rsidP="00692777">
      <w:pPr>
        <w:spacing w:line="240" w:lineRule="auto"/>
        <w:rPr>
          <w:rFonts w:cstheme="minorHAnsi"/>
        </w:rPr>
      </w:pPr>
      <w:r>
        <w:rPr>
          <w:rFonts w:cstheme="minorHAnsi"/>
        </w:rPr>
        <w:t>It seems obvious from these numbers and the accompanying scatter plots from the previous section that small community water systems no longer play a minor role in the provision of drinking water to significant numbers</w:t>
      </w:r>
      <w:r w:rsidR="003B0640">
        <w:rPr>
          <w:rFonts w:cstheme="minorHAnsi"/>
        </w:rPr>
        <w:t xml:space="preserve"> of the US population. Although</w:t>
      </w:r>
      <w:r>
        <w:rPr>
          <w:rFonts w:cstheme="minorHAnsi"/>
        </w:rPr>
        <w:t xml:space="preserve"> the specific values of the numbers in the table are questionable because of known data errors in the pivot tables, the general magnitude of the numbers should be valid. </w:t>
      </w:r>
      <w:r w:rsidR="00BD68D7">
        <w:rPr>
          <w:rFonts w:cstheme="minorHAnsi"/>
        </w:rPr>
        <w:t>It is quite probable that these small systems serve as much as a quarter of total served population on average and in numerou</w:t>
      </w:r>
      <w:r w:rsidR="00FB3597">
        <w:rPr>
          <w:rFonts w:cstheme="minorHAnsi"/>
        </w:rPr>
        <w:t>s states this fraction may be</w:t>
      </w:r>
      <w:r w:rsidR="00BD68D7">
        <w:rPr>
          <w:rFonts w:cstheme="minorHAnsi"/>
        </w:rPr>
        <w:t xml:space="preserve"> 50 % or more.  </w:t>
      </w:r>
      <w:r w:rsidR="0006197E">
        <w:rPr>
          <w:rFonts w:cstheme="minorHAnsi"/>
        </w:rPr>
        <w:t xml:space="preserve">This observation is supported by personal experience of the author and communication with other professionals in the small system community. </w:t>
      </w:r>
      <w:r w:rsidR="00831BF7">
        <w:rPr>
          <w:rFonts w:cstheme="minorHAnsi"/>
        </w:rPr>
        <w:t>Water utilities that served 100 or 200 meters twenty or thirty years ago now frequently serve several thousand meters. In fact, although it is not indicated in this analysis, systems that a few years ago were clearly in the small system category currently serve far in excess of the arbitrary “small” cutoff of serving 10,000 or fewer people</w:t>
      </w:r>
      <w:r w:rsidR="00787243">
        <w:rPr>
          <w:rFonts w:cstheme="minorHAnsi"/>
        </w:rPr>
        <w:t>.</w:t>
      </w:r>
    </w:p>
    <w:p w:rsidR="00787243" w:rsidRDefault="00483099" w:rsidP="00692777">
      <w:pPr>
        <w:spacing w:line="240" w:lineRule="auto"/>
        <w:rPr>
          <w:rFonts w:cstheme="minorHAnsi"/>
        </w:rPr>
      </w:pPr>
      <w:r>
        <w:rPr>
          <w:rFonts w:cstheme="minorHAnsi"/>
        </w:rPr>
        <w:t>The scatter plots used in the previous section bring out clearly an additional attribute of these small systems –</w:t>
      </w:r>
      <w:r w:rsidR="00DF5452">
        <w:rPr>
          <w:rFonts w:cstheme="minorHAnsi"/>
        </w:rPr>
        <w:t xml:space="preserve"> namely,</w:t>
      </w:r>
      <w:r>
        <w:rPr>
          <w:rFonts w:cstheme="minorHAnsi"/>
        </w:rPr>
        <w:t xml:space="preserve"> the wide variability in system characteristics from one state to another. </w:t>
      </w:r>
      <w:r w:rsidR="00DF5452">
        <w:rPr>
          <w:rFonts w:cstheme="minorHAnsi"/>
        </w:rPr>
        <w:t>Moreover, it appears that for some parameters, geographical location plays a role in the magnitude of the parameter, e.g. meters served by small systems as reflected in Figure 8. Clearly, the “one size fits all” approach in actions affecting them is no longer appropriate for small systems if it ever was.</w:t>
      </w:r>
    </w:p>
    <w:p w:rsidR="00DF5452" w:rsidRDefault="00DF5452" w:rsidP="00692777">
      <w:pPr>
        <w:spacing w:line="240" w:lineRule="auto"/>
        <w:rPr>
          <w:rFonts w:cstheme="minorHAnsi"/>
        </w:rPr>
      </w:pPr>
      <w:r>
        <w:rPr>
          <w:rFonts w:cstheme="minorHAnsi"/>
        </w:rPr>
        <w:t xml:space="preserve">Finally, </w:t>
      </w:r>
      <w:r w:rsidR="005675CC">
        <w:rPr>
          <w:rFonts w:cstheme="minorHAnsi"/>
        </w:rPr>
        <w:t>these data clearly emphasize the fact that</w:t>
      </w:r>
      <w:r w:rsidR="001912E2">
        <w:rPr>
          <w:rFonts w:cstheme="minorHAnsi"/>
        </w:rPr>
        <w:t xml:space="preserve"> although non community systems, especially transient ones, are large in number, they account for relatively little of the total public water supplied to US consumers. Curiously, the numbers of these systems per state seems to take a sharp drop at about mi</w:t>
      </w:r>
      <w:r w:rsidR="008E49B1">
        <w:rPr>
          <w:rFonts w:cstheme="minorHAnsi"/>
        </w:rPr>
        <w:t>dway in the country</w:t>
      </w:r>
      <w:r w:rsidR="00FB3597">
        <w:rPr>
          <w:rFonts w:cstheme="minorHAnsi"/>
        </w:rPr>
        <w:t xml:space="preserve"> moving</w:t>
      </w:r>
      <w:r w:rsidR="001912E2">
        <w:rPr>
          <w:rFonts w:cstheme="minorHAnsi"/>
        </w:rPr>
        <w:t xml:space="preserve"> from East to West. </w:t>
      </w:r>
      <w:r w:rsidR="00BC1C4B">
        <w:rPr>
          <w:rFonts w:cstheme="minorHAnsi"/>
        </w:rPr>
        <w:t>The reason for this change</w:t>
      </w:r>
      <w:r w:rsidR="00FB3597">
        <w:rPr>
          <w:rFonts w:cstheme="minorHAnsi"/>
        </w:rPr>
        <w:t>,</w:t>
      </w:r>
      <w:r w:rsidR="00BC1C4B">
        <w:rPr>
          <w:rFonts w:cstheme="minorHAnsi"/>
        </w:rPr>
        <w:t xml:space="preserve"> if it is not an artifact</w:t>
      </w:r>
      <w:r w:rsidR="00FB3597">
        <w:rPr>
          <w:rFonts w:cstheme="minorHAnsi"/>
        </w:rPr>
        <w:t>,</w:t>
      </w:r>
      <w:r w:rsidR="00BC1C4B">
        <w:rPr>
          <w:rFonts w:cstheme="minorHAnsi"/>
        </w:rPr>
        <w:t xml:space="preserve"> is unknown.</w:t>
      </w:r>
    </w:p>
    <w:p w:rsidR="00BC1C4B" w:rsidRDefault="00BC1C4B" w:rsidP="00692777">
      <w:pPr>
        <w:spacing w:line="240" w:lineRule="auto"/>
        <w:rPr>
          <w:rFonts w:cstheme="minorHAnsi"/>
        </w:rPr>
      </w:pPr>
    </w:p>
    <w:p w:rsidR="00BC1C4B" w:rsidRDefault="00BC1C4B" w:rsidP="00692777">
      <w:pPr>
        <w:spacing w:line="240" w:lineRule="auto"/>
        <w:rPr>
          <w:rFonts w:cstheme="minorHAnsi"/>
        </w:rPr>
      </w:pPr>
    </w:p>
    <w:p w:rsidR="00BC1C4B" w:rsidRDefault="00BC1C4B" w:rsidP="00692777">
      <w:pPr>
        <w:spacing w:line="240" w:lineRule="auto"/>
        <w:rPr>
          <w:rFonts w:cstheme="minorHAnsi"/>
        </w:rPr>
      </w:pPr>
      <w:r>
        <w:rPr>
          <w:rFonts w:cstheme="minorHAnsi"/>
          <w:b/>
          <w:u w:val="single"/>
        </w:rPr>
        <w:lastRenderedPageBreak/>
        <w:t>Summary and Conclusions</w:t>
      </w:r>
    </w:p>
    <w:p w:rsidR="00BC1C4B" w:rsidRDefault="00BC1C4B" w:rsidP="00692777">
      <w:pPr>
        <w:spacing w:line="240" w:lineRule="auto"/>
        <w:rPr>
          <w:rFonts w:cstheme="minorHAnsi"/>
        </w:rPr>
      </w:pPr>
      <w:r>
        <w:rPr>
          <w:rFonts w:cstheme="minorHAnsi"/>
        </w:rPr>
        <w:t>A significant shift in the role of small systems in the total picture of the provision of public drinking water to the US population has occurred since the appreciable expansion of the number of these systems that began in the 1960s. Systems that initially served as few as 100 to 200 meters now frequently serve several thousand meters. Data from this study suggest that these utilities may now collectively supply a quarter or more of the population and in many states a much larger fraction</w:t>
      </w:r>
      <w:r w:rsidR="00022149">
        <w:rPr>
          <w:rFonts w:cstheme="minorHAnsi"/>
        </w:rPr>
        <w:t>, perhaps as much as 50 % or more.</w:t>
      </w:r>
      <w:r w:rsidR="009E6ED3">
        <w:rPr>
          <w:rFonts w:cstheme="minorHAnsi"/>
        </w:rPr>
        <w:t xml:space="preserve"> The data studied suggest an average size for these small utilities in the 400 to 500 meters served range. However, this may be somewhat misleading</w:t>
      </w:r>
      <w:r w:rsidR="00692812">
        <w:rPr>
          <w:rFonts w:cstheme="minorHAnsi"/>
        </w:rPr>
        <w:t xml:space="preserve"> in regard to changes in the characteristics of small systems</w:t>
      </w:r>
      <w:r w:rsidR="009E6ED3">
        <w:rPr>
          <w:rFonts w:cstheme="minorHAnsi"/>
        </w:rPr>
        <w:t xml:space="preserve"> because this evaluation was limited to systems serving 10,000 or fewer people and it is known that</w:t>
      </w:r>
      <w:r w:rsidR="00FB3597">
        <w:rPr>
          <w:rFonts w:cstheme="minorHAnsi"/>
        </w:rPr>
        <w:t xml:space="preserve"> many</w:t>
      </w:r>
      <w:r w:rsidR="009E6ED3">
        <w:rPr>
          <w:rFonts w:cstheme="minorHAnsi"/>
        </w:rPr>
        <w:t xml:space="preserve"> systems that were formerly in the “small” category now serve enough customers to have moved into the larger size classifications.</w:t>
      </w:r>
    </w:p>
    <w:p w:rsidR="00022149" w:rsidRDefault="00022149" w:rsidP="00692777">
      <w:pPr>
        <w:spacing w:line="240" w:lineRule="auto"/>
        <w:rPr>
          <w:rFonts w:cstheme="minorHAnsi"/>
        </w:rPr>
      </w:pPr>
      <w:r>
        <w:rPr>
          <w:rFonts w:cstheme="minorHAnsi"/>
        </w:rPr>
        <w:t>The characteristics of these systems vary widely from state to state, indicating that regulatory and other actions tailored to the assumption that a single approach will suffice for the small system community will not be realistic. Environmental justice considerations require that more localized approaches be used.</w:t>
      </w:r>
    </w:p>
    <w:p w:rsidR="00071733" w:rsidRDefault="00D4212E" w:rsidP="00D4212E">
      <w:pPr>
        <w:spacing w:line="240" w:lineRule="auto"/>
        <w:rPr>
          <w:rFonts w:cstheme="minorHAnsi"/>
        </w:rPr>
      </w:pPr>
      <w:r>
        <w:rPr>
          <w:rFonts w:cstheme="minorHAnsi"/>
        </w:rPr>
        <w:t xml:space="preserve">The impact and implications of these changes are numerous and several are </w:t>
      </w:r>
      <w:r w:rsidR="001623B9">
        <w:rPr>
          <w:rFonts w:cstheme="minorHAnsi"/>
        </w:rPr>
        <w:t>presented in the following bullet list.</w:t>
      </w:r>
    </w:p>
    <w:p w:rsidR="00FB3597" w:rsidRDefault="00692812" w:rsidP="00FB3597">
      <w:pPr>
        <w:pStyle w:val="ListParagraph"/>
        <w:numPr>
          <w:ilvl w:val="0"/>
          <w:numId w:val="12"/>
        </w:numPr>
        <w:spacing w:line="240" w:lineRule="auto"/>
        <w:rPr>
          <w:rFonts w:cstheme="minorHAnsi"/>
        </w:rPr>
      </w:pPr>
      <w:r>
        <w:rPr>
          <w:rFonts w:cstheme="minorHAnsi"/>
        </w:rPr>
        <w:t>Small systems should be considered as playing a significant</w:t>
      </w:r>
      <w:r w:rsidR="008F4B96">
        <w:rPr>
          <w:rFonts w:cstheme="minorHAnsi"/>
        </w:rPr>
        <w:t xml:space="preserve"> and vital</w:t>
      </w:r>
      <w:r>
        <w:rPr>
          <w:rFonts w:cstheme="minorHAnsi"/>
        </w:rPr>
        <w:t xml:space="preserve"> role nationally and in some states a predominant role in the provision of drinking water to the US population.</w:t>
      </w:r>
    </w:p>
    <w:p w:rsidR="00692812" w:rsidRDefault="0098315B" w:rsidP="00FB3597">
      <w:pPr>
        <w:pStyle w:val="ListParagraph"/>
        <w:numPr>
          <w:ilvl w:val="0"/>
          <w:numId w:val="12"/>
        </w:numPr>
        <w:spacing w:line="240" w:lineRule="auto"/>
        <w:rPr>
          <w:rFonts w:cstheme="minorHAnsi"/>
        </w:rPr>
      </w:pPr>
      <w:r>
        <w:rPr>
          <w:rFonts w:cstheme="minorHAnsi"/>
        </w:rPr>
        <w:t xml:space="preserve">Organizations that support the small system community may need to revise programs </w:t>
      </w:r>
      <w:r w:rsidR="008F4B96">
        <w:rPr>
          <w:rFonts w:cstheme="minorHAnsi"/>
        </w:rPr>
        <w:t>like</w:t>
      </w:r>
      <w:r>
        <w:rPr>
          <w:rFonts w:cstheme="minorHAnsi"/>
        </w:rPr>
        <w:t xml:space="preserve"> training efforts to recognize </w:t>
      </w:r>
      <w:r w:rsidR="008F4B96">
        <w:rPr>
          <w:rFonts w:cstheme="minorHAnsi"/>
        </w:rPr>
        <w:t>the increasing size and accompanying sophistication of small systems.</w:t>
      </w:r>
    </w:p>
    <w:p w:rsidR="0087736A" w:rsidRDefault="0087736A" w:rsidP="0087736A">
      <w:pPr>
        <w:pStyle w:val="ListParagraph"/>
        <w:numPr>
          <w:ilvl w:val="0"/>
          <w:numId w:val="12"/>
        </w:numPr>
        <w:spacing w:line="240" w:lineRule="auto"/>
        <w:rPr>
          <w:rFonts w:cstheme="minorHAnsi"/>
        </w:rPr>
      </w:pPr>
      <w:r>
        <w:rPr>
          <w:rFonts w:cstheme="minorHAnsi"/>
        </w:rPr>
        <w:t xml:space="preserve">Programs, such as capacity development, based on the assumption that small systems in general are too small to be economically and operationally viable cannot be supported by current demographic data. </w:t>
      </w:r>
    </w:p>
    <w:p w:rsidR="008F4B96" w:rsidRPr="00FB3597" w:rsidRDefault="008F4B96" w:rsidP="00FB3597">
      <w:pPr>
        <w:pStyle w:val="ListParagraph"/>
        <w:numPr>
          <w:ilvl w:val="0"/>
          <w:numId w:val="12"/>
        </w:numPr>
        <w:spacing w:line="240" w:lineRule="auto"/>
        <w:rPr>
          <w:rFonts w:cstheme="minorHAnsi"/>
        </w:rPr>
      </w:pPr>
      <w:r>
        <w:rPr>
          <w:rFonts w:cstheme="minorHAnsi"/>
        </w:rPr>
        <w:t>Actions that affect small systems should be flexible enough to permit adjustment to fit local conditions recognizing the wide variation in system characteristics from one state to another.</w:t>
      </w:r>
    </w:p>
    <w:p w:rsidR="001623B9" w:rsidRDefault="001623B9" w:rsidP="008465B0">
      <w:pPr>
        <w:spacing w:line="240" w:lineRule="auto"/>
        <w:rPr>
          <w:rFonts w:cstheme="minorHAnsi"/>
        </w:rPr>
      </w:pPr>
    </w:p>
    <w:p w:rsidR="008465B0" w:rsidRDefault="008465B0" w:rsidP="008465B0">
      <w:pPr>
        <w:spacing w:line="240" w:lineRule="auto"/>
        <w:rPr>
          <w:rFonts w:cstheme="minorHAnsi"/>
        </w:rPr>
      </w:pPr>
      <w:r>
        <w:rPr>
          <w:rFonts w:cstheme="minorHAnsi"/>
          <w:b/>
          <w:u w:val="single"/>
        </w:rPr>
        <w:t>References</w:t>
      </w:r>
    </w:p>
    <w:p w:rsidR="008465B0" w:rsidRPr="008465B0" w:rsidRDefault="008465B0" w:rsidP="008465B0">
      <w:pPr>
        <w:pStyle w:val="Title"/>
        <w:jc w:val="left"/>
        <w:rPr>
          <w:rFonts w:asciiTheme="minorHAnsi" w:hAnsiTheme="minorHAnsi" w:cstheme="minorHAnsi"/>
          <w:sz w:val="22"/>
          <w:szCs w:val="22"/>
        </w:rPr>
      </w:pPr>
      <w:r w:rsidRPr="008465B0">
        <w:rPr>
          <w:rFonts w:asciiTheme="minorHAnsi" w:hAnsiTheme="minorHAnsi" w:cstheme="minorHAnsi"/>
          <w:sz w:val="22"/>
          <w:szCs w:val="22"/>
        </w:rPr>
        <w:t>Bowman, Lawrence.</w:t>
      </w:r>
      <w:r w:rsidR="00B80EC5">
        <w:rPr>
          <w:rFonts w:asciiTheme="minorHAnsi" w:hAnsiTheme="minorHAnsi" w:cstheme="minorHAnsi"/>
          <w:sz w:val="22"/>
          <w:szCs w:val="22"/>
        </w:rPr>
        <w:t>”</w:t>
      </w:r>
      <w:r w:rsidRPr="008465B0">
        <w:rPr>
          <w:rFonts w:asciiTheme="minorHAnsi" w:hAnsiTheme="minorHAnsi" w:cstheme="minorHAnsi"/>
          <w:sz w:val="22"/>
          <w:szCs w:val="22"/>
        </w:rPr>
        <w:t xml:space="preserve"> </w:t>
      </w:r>
      <w:r w:rsidRPr="008465B0">
        <w:rPr>
          <w:rFonts w:asciiTheme="minorHAnsi" w:hAnsiTheme="minorHAnsi" w:cstheme="minorHAnsi"/>
          <w:b w:val="0"/>
          <w:sz w:val="22"/>
          <w:szCs w:val="22"/>
        </w:rPr>
        <w:t>Comparison of Water and Wastewater System Financing through the Rural Utilities Service and State Revolving Funds</w:t>
      </w:r>
      <w:r w:rsidR="00B80EC5">
        <w:rPr>
          <w:rFonts w:asciiTheme="minorHAnsi" w:hAnsiTheme="minorHAnsi" w:cstheme="minorHAnsi"/>
          <w:b w:val="0"/>
          <w:sz w:val="22"/>
          <w:szCs w:val="22"/>
        </w:rPr>
        <w:t>”, National Rural Water Association, Critical Issues In Setting Regulatory Standards Series. July, 2004.</w:t>
      </w:r>
    </w:p>
    <w:p w:rsidR="004D4CCD" w:rsidRDefault="004D4CCD" w:rsidP="008465B0">
      <w:pPr>
        <w:spacing w:line="240" w:lineRule="auto"/>
        <w:rPr>
          <w:rFonts w:cstheme="minorHAnsi"/>
          <w:b/>
        </w:rPr>
      </w:pPr>
    </w:p>
    <w:p w:rsidR="008465B0" w:rsidRDefault="004D4CCD" w:rsidP="008465B0">
      <w:pPr>
        <w:spacing w:line="240" w:lineRule="auto"/>
        <w:rPr>
          <w:rFonts w:cstheme="minorHAnsi"/>
          <w:b/>
        </w:rPr>
      </w:pPr>
      <w:r>
        <w:rPr>
          <w:rFonts w:cstheme="minorHAnsi"/>
          <w:b/>
        </w:rPr>
        <w:t>USEPA Website 1</w:t>
      </w:r>
      <w:r w:rsidRPr="004D4CCD">
        <w:rPr>
          <w:rFonts w:cstheme="minorHAnsi"/>
        </w:rPr>
        <w:t>, http://water.epa.gov/scitech/datait/databases/drink/sdwisfed/index.cfm</w:t>
      </w:r>
    </w:p>
    <w:p w:rsidR="004D4CCD" w:rsidRPr="001A5502" w:rsidRDefault="004D4CCD" w:rsidP="004D4CCD">
      <w:pPr>
        <w:spacing w:line="240" w:lineRule="auto"/>
        <w:rPr>
          <w:rFonts w:eastAsia="Times New Roman" w:cstheme="minorHAnsi"/>
          <w:color w:val="151515"/>
        </w:rPr>
      </w:pPr>
      <w:r>
        <w:rPr>
          <w:rFonts w:cstheme="minorHAnsi"/>
          <w:b/>
        </w:rPr>
        <w:t xml:space="preserve">USEPA Website 2, </w:t>
      </w:r>
      <w:r w:rsidRPr="001A5502">
        <w:rPr>
          <w:rFonts w:cstheme="minorHAnsi"/>
        </w:rPr>
        <w:t>http://water.epa.gov/infrastructure</w:t>
      </w:r>
      <w:r>
        <w:rPr>
          <w:rFonts w:cstheme="minorHAnsi"/>
        </w:rPr>
        <w:t>/drinkingwater/pws/factoids.cfm</w:t>
      </w:r>
    </w:p>
    <w:p w:rsidR="004D4CCD" w:rsidRPr="004D4CCD" w:rsidRDefault="004D4CCD" w:rsidP="008465B0">
      <w:pPr>
        <w:spacing w:line="240" w:lineRule="auto"/>
        <w:rPr>
          <w:rFonts w:cstheme="minorHAnsi"/>
        </w:rPr>
      </w:pPr>
    </w:p>
    <w:p w:rsidR="004D4CCD" w:rsidRPr="004D4CCD" w:rsidRDefault="004D4CCD" w:rsidP="008465B0">
      <w:pPr>
        <w:spacing w:line="240" w:lineRule="auto"/>
        <w:rPr>
          <w:rFonts w:cstheme="minorHAnsi"/>
          <w:b/>
        </w:rPr>
      </w:pPr>
    </w:p>
    <w:sectPr w:rsidR="004D4CCD" w:rsidRPr="004D4CCD" w:rsidSect="00CA2A35">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7AD" w:rsidRDefault="00B057AD" w:rsidP="009266FA">
      <w:pPr>
        <w:spacing w:after="0" w:line="240" w:lineRule="auto"/>
      </w:pPr>
      <w:r>
        <w:separator/>
      </w:r>
    </w:p>
  </w:endnote>
  <w:endnote w:type="continuationSeparator" w:id="0">
    <w:p w:rsidR="00B057AD" w:rsidRDefault="00B057AD" w:rsidP="0092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8893"/>
      <w:docPartObj>
        <w:docPartGallery w:val="Page Numbers (Bottom of Page)"/>
        <w:docPartUnique/>
      </w:docPartObj>
    </w:sdtPr>
    <w:sdtContent>
      <w:p w:rsidR="004C7F1F" w:rsidRDefault="0034469B">
        <w:pPr>
          <w:pStyle w:val="Footer"/>
          <w:jc w:val="right"/>
        </w:pPr>
        <w:fldSimple w:instr=" PAGE   \* MERGEFORMAT ">
          <w:r w:rsidR="0071001F">
            <w:rPr>
              <w:noProof/>
            </w:rPr>
            <w:t>4</w:t>
          </w:r>
        </w:fldSimple>
      </w:p>
    </w:sdtContent>
  </w:sdt>
  <w:p w:rsidR="004C7F1F" w:rsidRDefault="004C7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7AD" w:rsidRDefault="00B057AD" w:rsidP="009266FA">
      <w:pPr>
        <w:spacing w:after="0" w:line="240" w:lineRule="auto"/>
      </w:pPr>
      <w:r>
        <w:separator/>
      </w:r>
    </w:p>
  </w:footnote>
  <w:footnote w:type="continuationSeparator" w:id="0">
    <w:p w:rsidR="00B057AD" w:rsidRDefault="00B057AD" w:rsidP="00926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C14"/>
    <w:multiLevelType w:val="multilevel"/>
    <w:tmpl w:val="747E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0807"/>
    <w:multiLevelType w:val="multilevel"/>
    <w:tmpl w:val="347E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55BDD"/>
    <w:multiLevelType w:val="multilevel"/>
    <w:tmpl w:val="F77E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33994"/>
    <w:multiLevelType w:val="multilevel"/>
    <w:tmpl w:val="33B8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70901"/>
    <w:multiLevelType w:val="multilevel"/>
    <w:tmpl w:val="164E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5597C"/>
    <w:multiLevelType w:val="hybridMultilevel"/>
    <w:tmpl w:val="7E6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C2726"/>
    <w:multiLevelType w:val="hybridMultilevel"/>
    <w:tmpl w:val="5058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27B41"/>
    <w:multiLevelType w:val="multilevel"/>
    <w:tmpl w:val="9A84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21907"/>
    <w:multiLevelType w:val="multilevel"/>
    <w:tmpl w:val="9352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812B5"/>
    <w:multiLevelType w:val="multilevel"/>
    <w:tmpl w:val="D280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65B33"/>
    <w:multiLevelType w:val="multilevel"/>
    <w:tmpl w:val="D51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75B73"/>
    <w:multiLevelType w:val="multilevel"/>
    <w:tmpl w:val="3CC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1"/>
  </w:num>
  <w:num w:numId="5">
    <w:abstractNumId w:val="9"/>
  </w:num>
  <w:num w:numId="6">
    <w:abstractNumId w:val="7"/>
  </w:num>
  <w:num w:numId="7">
    <w:abstractNumId w:val="4"/>
  </w:num>
  <w:num w:numId="8">
    <w:abstractNumId w:val="1"/>
  </w:num>
  <w:num w:numId="9">
    <w:abstractNumId w:val="3"/>
  </w:num>
  <w:num w:numId="10">
    <w:abstractNumId w:val="1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135FC1"/>
    <w:rsid w:val="0002135A"/>
    <w:rsid w:val="00022149"/>
    <w:rsid w:val="00023334"/>
    <w:rsid w:val="00060C42"/>
    <w:rsid w:val="0006197E"/>
    <w:rsid w:val="00071733"/>
    <w:rsid w:val="00077777"/>
    <w:rsid w:val="00092A7F"/>
    <w:rsid w:val="000B6379"/>
    <w:rsid w:val="000D6827"/>
    <w:rsid w:val="000E5489"/>
    <w:rsid w:val="000E6354"/>
    <w:rsid w:val="001071E6"/>
    <w:rsid w:val="00111E34"/>
    <w:rsid w:val="0012170E"/>
    <w:rsid w:val="00130CCF"/>
    <w:rsid w:val="00135FC1"/>
    <w:rsid w:val="00153DA2"/>
    <w:rsid w:val="001558F9"/>
    <w:rsid w:val="001623B9"/>
    <w:rsid w:val="00181777"/>
    <w:rsid w:val="001912E2"/>
    <w:rsid w:val="001A5502"/>
    <w:rsid w:val="001B09F1"/>
    <w:rsid w:val="001F6771"/>
    <w:rsid w:val="002210AA"/>
    <w:rsid w:val="00241A3C"/>
    <w:rsid w:val="00272BBA"/>
    <w:rsid w:val="002A0102"/>
    <w:rsid w:val="002D7730"/>
    <w:rsid w:val="003158A3"/>
    <w:rsid w:val="003374DB"/>
    <w:rsid w:val="0034469B"/>
    <w:rsid w:val="00371AAF"/>
    <w:rsid w:val="0037353B"/>
    <w:rsid w:val="00375E34"/>
    <w:rsid w:val="003831A7"/>
    <w:rsid w:val="003B0640"/>
    <w:rsid w:val="003C725A"/>
    <w:rsid w:val="003C744D"/>
    <w:rsid w:val="00401432"/>
    <w:rsid w:val="00404142"/>
    <w:rsid w:val="0040595B"/>
    <w:rsid w:val="004231B2"/>
    <w:rsid w:val="00427754"/>
    <w:rsid w:val="00443989"/>
    <w:rsid w:val="00482065"/>
    <w:rsid w:val="00483099"/>
    <w:rsid w:val="00492622"/>
    <w:rsid w:val="004C7F1F"/>
    <w:rsid w:val="004D4CCD"/>
    <w:rsid w:val="004E042F"/>
    <w:rsid w:val="004E6159"/>
    <w:rsid w:val="005029AD"/>
    <w:rsid w:val="0050541B"/>
    <w:rsid w:val="00543109"/>
    <w:rsid w:val="005453CF"/>
    <w:rsid w:val="005675CC"/>
    <w:rsid w:val="0058294F"/>
    <w:rsid w:val="0059271D"/>
    <w:rsid w:val="0059795B"/>
    <w:rsid w:val="005B5FB8"/>
    <w:rsid w:val="005B7616"/>
    <w:rsid w:val="005C0C1B"/>
    <w:rsid w:val="005C54F3"/>
    <w:rsid w:val="005D368E"/>
    <w:rsid w:val="005E30DD"/>
    <w:rsid w:val="00602BC7"/>
    <w:rsid w:val="00623D56"/>
    <w:rsid w:val="00641A80"/>
    <w:rsid w:val="00652E6F"/>
    <w:rsid w:val="006844F6"/>
    <w:rsid w:val="00684C2A"/>
    <w:rsid w:val="00692777"/>
    <w:rsid w:val="00692812"/>
    <w:rsid w:val="006C1267"/>
    <w:rsid w:val="006D0C48"/>
    <w:rsid w:val="00701960"/>
    <w:rsid w:val="0070203F"/>
    <w:rsid w:val="0071001F"/>
    <w:rsid w:val="007320F3"/>
    <w:rsid w:val="0074001D"/>
    <w:rsid w:val="007660BE"/>
    <w:rsid w:val="00777018"/>
    <w:rsid w:val="00784710"/>
    <w:rsid w:val="00787243"/>
    <w:rsid w:val="007948BC"/>
    <w:rsid w:val="007C52F0"/>
    <w:rsid w:val="00801DD1"/>
    <w:rsid w:val="00803342"/>
    <w:rsid w:val="00831BF7"/>
    <w:rsid w:val="00834463"/>
    <w:rsid w:val="00835024"/>
    <w:rsid w:val="008465B0"/>
    <w:rsid w:val="00866C02"/>
    <w:rsid w:val="0086784B"/>
    <w:rsid w:val="00872326"/>
    <w:rsid w:val="0087736A"/>
    <w:rsid w:val="00886B6B"/>
    <w:rsid w:val="008A1E20"/>
    <w:rsid w:val="008B2E41"/>
    <w:rsid w:val="008D0F11"/>
    <w:rsid w:val="008E49B1"/>
    <w:rsid w:val="008F4B96"/>
    <w:rsid w:val="008F5991"/>
    <w:rsid w:val="00902223"/>
    <w:rsid w:val="00902F2E"/>
    <w:rsid w:val="00916AD4"/>
    <w:rsid w:val="00921F54"/>
    <w:rsid w:val="009266FA"/>
    <w:rsid w:val="00937C78"/>
    <w:rsid w:val="0094778B"/>
    <w:rsid w:val="0098315B"/>
    <w:rsid w:val="009852E5"/>
    <w:rsid w:val="009B6F3A"/>
    <w:rsid w:val="009C59AC"/>
    <w:rsid w:val="009D1532"/>
    <w:rsid w:val="009D336C"/>
    <w:rsid w:val="009E6ED3"/>
    <w:rsid w:val="009F5F8B"/>
    <w:rsid w:val="00A23451"/>
    <w:rsid w:val="00A271C5"/>
    <w:rsid w:val="00A31C24"/>
    <w:rsid w:val="00AE7170"/>
    <w:rsid w:val="00B057AD"/>
    <w:rsid w:val="00B631C0"/>
    <w:rsid w:val="00B80EC5"/>
    <w:rsid w:val="00B87990"/>
    <w:rsid w:val="00B91A4D"/>
    <w:rsid w:val="00B945F9"/>
    <w:rsid w:val="00B960A7"/>
    <w:rsid w:val="00BA2973"/>
    <w:rsid w:val="00BB2B57"/>
    <w:rsid w:val="00BC04AF"/>
    <w:rsid w:val="00BC1C4B"/>
    <w:rsid w:val="00BD52A0"/>
    <w:rsid w:val="00BD68D7"/>
    <w:rsid w:val="00BE3A75"/>
    <w:rsid w:val="00C0755C"/>
    <w:rsid w:val="00C32CC8"/>
    <w:rsid w:val="00C35590"/>
    <w:rsid w:val="00CA2A35"/>
    <w:rsid w:val="00CB7F0B"/>
    <w:rsid w:val="00CE46A3"/>
    <w:rsid w:val="00CF733D"/>
    <w:rsid w:val="00D135E8"/>
    <w:rsid w:val="00D403BE"/>
    <w:rsid w:val="00D4212E"/>
    <w:rsid w:val="00D74C21"/>
    <w:rsid w:val="00D81810"/>
    <w:rsid w:val="00DA72FE"/>
    <w:rsid w:val="00DB3D69"/>
    <w:rsid w:val="00DF5452"/>
    <w:rsid w:val="00DF6812"/>
    <w:rsid w:val="00E21C32"/>
    <w:rsid w:val="00E31F39"/>
    <w:rsid w:val="00E5115D"/>
    <w:rsid w:val="00ED6F30"/>
    <w:rsid w:val="00EE7F52"/>
    <w:rsid w:val="00F1231C"/>
    <w:rsid w:val="00F21315"/>
    <w:rsid w:val="00F62539"/>
    <w:rsid w:val="00F952DD"/>
    <w:rsid w:val="00FB3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5FC1"/>
    <w:rPr>
      <w:b/>
      <w:bCs/>
    </w:rPr>
  </w:style>
  <w:style w:type="paragraph" w:styleId="BalloonText">
    <w:name w:val="Balloon Text"/>
    <w:basedOn w:val="Normal"/>
    <w:link w:val="BalloonTextChar"/>
    <w:uiPriority w:val="99"/>
    <w:semiHidden/>
    <w:unhideWhenUsed/>
    <w:rsid w:val="000D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27"/>
    <w:rPr>
      <w:rFonts w:ascii="Tahoma" w:hAnsi="Tahoma" w:cs="Tahoma"/>
      <w:sz w:val="16"/>
      <w:szCs w:val="16"/>
    </w:rPr>
  </w:style>
  <w:style w:type="paragraph" w:styleId="Header">
    <w:name w:val="header"/>
    <w:basedOn w:val="Normal"/>
    <w:link w:val="HeaderChar"/>
    <w:uiPriority w:val="99"/>
    <w:semiHidden/>
    <w:unhideWhenUsed/>
    <w:rsid w:val="00926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6FA"/>
  </w:style>
  <w:style w:type="paragraph" w:styleId="Footer">
    <w:name w:val="footer"/>
    <w:basedOn w:val="Normal"/>
    <w:link w:val="FooterChar"/>
    <w:uiPriority w:val="99"/>
    <w:unhideWhenUsed/>
    <w:rsid w:val="0092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FA"/>
  </w:style>
  <w:style w:type="paragraph" w:customStyle="1" w:styleId="DecimalAligned">
    <w:name w:val="Decimal Aligned"/>
    <w:basedOn w:val="Normal"/>
    <w:uiPriority w:val="40"/>
    <w:qFormat/>
    <w:rsid w:val="00111E34"/>
    <w:pPr>
      <w:tabs>
        <w:tab w:val="decimal" w:pos="360"/>
      </w:tabs>
    </w:pPr>
    <w:rPr>
      <w:rFonts w:eastAsiaTheme="minorEastAsia"/>
    </w:rPr>
  </w:style>
  <w:style w:type="paragraph" w:styleId="FootnoteText">
    <w:name w:val="footnote text"/>
    <w:basedOn w:val="Normal"/>
    <w:link w:val="FootnoteTextChar"/>
    <w:uiPriority w:val="99"/>
    <w:unhideWhenUsed/>
    <w:rsid w:val="00111E3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11E34"/>
    <w:rPr>
      <w:rFonts w:eastAsiaTheme="minorEastAsia"/>
      <w:sz w:val="20"/>
      <w:szCs w:val="20"/>
    </w:rPr>
  </w:style>
  <w:style w:type="character" w:styleId="SubtleEmphasis">
    <w:name w:val="Subtle Emphasis"/>
    <w:basedOn w:val="DefaultParagraphFont"/>
    <w:uiPriority w:val="19"/>
    <w:qFormat/>
    <w:rsid w:val="00111E34"/>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111E34"/>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801DD1"/>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623B9"/>
    <w:pPr>
      <w:ind w:left="720"/>
      <w:contextualSpacing/>
    </w:pPr>
  </w:style>
  <w:style w:type="paragraph" w:styleId="Title">
    <w:name w:val="Title"/>
    <w:basedOn w:val="Normal"/>
    <w:link w:val="TitleChar"/>
    <w:qFormat/>
    <w:rsid w:val="008465B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465B0"/>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88427751">
      <w:bodyDiv w:val="1"/>
      <w:marLeft w:val="0"/>
      <w:marRight w:val="0"/>
      <w:marTop w:val="0"/>
      <w:marBottom w:val="0"/>
      <w:divBdr>
        <w:top w:val="none" w:sz="0" w:space="0" w:color="auto"/>
        <w:left w:val="none" w:sz="0" w:space="0" w:color="auto"/>
        <w:bottom w:val="none" w:sz="0" w:space="0" w:color="auto"/>
        <w:right w:val="none" w:sz="0" w:space="0" w:color="auto"/>
      </w:divBdr>
      <w:divsChild>
        <w:div w:id="1888106660">
          <w:marLeft w:val="0"/>
          <w:marRight w:val="0"/>
          <w:marTop w:val="0"/>
          <w:marBottom w:val="0"/>
          <w:divBdr>
            <w:top w:val="single" w:sz="48" w:space="0" w:color="435258"/>
            <w:left w:val="single" w:sz="48" w:space="0" w:color="435258"/>
            <w:bottom w:val="single" w:sz="48" w:space="0" w:color="435258"/>
            <w:right w:val="single" w:sz="48" w:space="0" w:color="435258"/>
          </w:divBdr>
          <w:divsChild>
            <w:div w:id="992879258">
              <w:marLeft w:val="0"/>
              <w:marRight w:val="0"/>
              <w:marTop w:val="0"/>
              <w:marBottom w:val="0"/>
              <w:divBdr>
                <w:top w:val="none" w:sz="0" w:space="0" w:color="auto"/>
                <w:left w:val="none" w:sz="0" w:space="0" w:color="auto"/>
                <w:bottom w:val="none" w:sz="0" w:space="0" w:color="auto"/>
                <w:right w:val="none" w:sz="0" w:space="0" w:color="auto"/>
              </w:divBdr>
              <w:divsChild>
                <w:div w:id="1488479370">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 w:id="196936838">
      <w:bodyDiv w:val="1"/>
      <w:marLeft w:val="0"/>
      <w:marRight w:val="0"/>
      <w:marTop w:val="0"/>
      <w:marBottom w:val="0"/>
      <w:divBdr>
        <w:top w:val="none" w:sz="0" w:space="0" w:color="auto"/>
        <w:left w:val="none" w:sz="0" w:space="0" w:color="auto"/>
        <w:bottom w:val="none" w:sz="0" w:space="0" w:color="auto"/>
        <w:right w:val="none" w:sz="0" w:space="0" w:color="auto"/>
      </w:divBdr>
      <w:divsChild>
        <w:div w:id="1310748476">
          <w:marLeft w:val="0"/>
          <w:marRight w:val="0"/>
          <w:marTop w:val="0"/>
          <w:marBottom w:val="0"/>
          <w:divBdr>
            <w:top w:val="single" w:sz="48" w:space="0" w:color="435258"/>
            <w:left w:val="single" w:sz="48" w:space="0" w:color="435258"/>
            <w:bottom w:val="single" w:sz="48" w:space="0" w:color="435258"/>
            <w:right w:val="single" w:sz="48" w:space="0" w:color="435258"/>
          </w:divBdr>
          <w:divsChild>
            <w:div w:id="723212049">
              <w:marLeft w:val="0"/>
              <w:marRight w:val="0"/>
              <w:marTop w:val="0"/>
              <w:marBottom w:val="0"/>
              <w:divBdr>
                <w:top w:val="none" w:sz="0" w:space="0" w:color="auto"/>
                <w:left w:val="none" w:sz="0" w:space="0" w:color="auto"/>
                <w:bottom w:val="none" w:sz="0" w:space="0" w:color="auto"/>
                <w:right w:val="none" w:sz="0" w:space="0" w:color="auto"/>
              </w:divBdr>
              <w:divsChild>
                <w:div w:id="870339224">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 w:id="240994732">
      <w:bodyDiv w:val="1"/>
      <w:marLeft w:val="0"/>
      <w:marRight w:val="0"/>
      <w:marTop w:val="0"/>
      <w:marBottom w:val="0"/>
      <w:divBdr>
        <w:top w:val="none" w:sz="0" w:space="0" w:color="auto"/>
        <w:left w:val="none" w:sz="0" w:space="0" w:color="auto"/>
        <w:bottom w:val="none" w:sz="0" w:space="0" w:color="auto"/>
        <w:right w:val="none" w:sz="0" w:space="0" w:color="auto"/>
      </w:divBdr>
      <w:divsChild>
        <w:div w:id="1081757021">
          <w:marLeft w:val="0"/>
          <w:marRight w:val="0"/>
          <w:marTop w:val="0"/>
          <w:marBottom w:val="0"/>
          <w:divBdr>
            <w:top w:val="none" w:sz="0" w:space="0" w:color="auto"/>
            <w:left w:val="none" w:sz="0" w:space="0" w:color="auto"/>
            <w:bottom w:val="none" w:sz="0" w:space="0" w:color="auto"/>
            <w:right w:val="none" w:sz="0" w:space="0" w:color="auto"/>
          </w:divBdr>
          <w:divsChild>
            <w:div w:id="471405467">
              <w:marLeft w:val="0"/>
              <w:marRight w:val="0"/>
              <w:marTop w:val="0"/>
              <w:marBottom w:val="0"/>
              <w:divBdr>
                <w:top w:val="none" w:sz="0" w:space="0" w:color="auto"/>
                <w:left w:val="none" w:sz="0" w:space="0" w:color="auto"/>
                <w:bottom w:val="none" w:sz="0" w:space="0" w:color="auto"/>
                <w:right w:val="none" w:sz="0" w:space="0" w:color="auto"/>
              </w:divBdr>
              <w:divsChild>
                <w:div w:id="1278828448">
                  <w:marLeft w:val="104"/>
                  <w:marRight w:val="104"/>
                  <w:marTop w:val="0"/>
                  <w:marBottom w:val="0"/>
                  <w:divBdr>
                    <w:top w:val="none" w:sz="0" w:space="0" w:color="auto"/>
                    <w:left w:val="none" w:sz="0" w:space="0" w:color="auto"/>
                    <w:bottom w:val="none" w:sz="0" w:space="0" w:color="auto"/>
                    <w:right w:val="none" w:sz="0" w:space="0" w:color="auto"/>
                  </w:divBdr>
                  <w:divsChild>
                    <w:div w:id="995106390">
                      <w:marLeft w:val="0"/>
                      <w:marRight w:val="0"/>
                      <w:marTop w:val="0"/>
                      <w:marBottom w:val="0"/>
                      <w:divBdr>
                        <w:top w:val="none" w:sz="0" w:space="0" w:color="auto"/>
                        <w:left w:val="none" w:sz="0" w:space="0" w:color="auto"/>
                        <w:bottom w:val="none" w:sz="0" w:space="0" w:color="auto"/>
                        <w:right w:val="none" w:sz="0" w:space="0" w:color="auto"/>
                      </w:divBdr>
                      <w:divsChild>
                        <w:div w:id="1242911818">
                          <w:marLeft w:val="0"/>
                          <w:marRight w:val="0"/>
                          <w:marTop w:val="0"/>
                          <w:marBottom w:val="0"/>
                          <w:divBdr>
                            <w:top w:val="none" w:sz="0" w:space="0" w:color="auto"/>
                            <w:left w:val="none" w:sz="0" w:space="0" w:color="auto"/>
                            <w:bottom w:val="none" w:sz="0" w:space="0" w:color="auto"/>
                            <w:right w:val="none" w:sz="0" w:space="0" w:color="auto"/>
                          </w:divBdr>
                          <w:divsChild>
                            <w:div w:id="345983573">
                              <w:marLeft w:val="0"/>
                              <w:marRight w:val="0"/>
                              <w:marTop w:val="0"/>
                              <w:marBottom w:val="0"/>
                              <w:divBdr>
                                <w:top w:val="none" w:sz="0" w:space="0" w:color="auto"/>
                                <w:left w:val="none" w:sz="0" w:space="0" w:color="auto"/>
                                <w:bottom w:val="none" w:sz="0" w:space="0" w:color="auto"/>
                                <w:right w:val="none" w:sz="0" w:space="0" w:color="auto"/>
                              </w:divBdr>
                              <w:divsChild>
                                <w:div w:id="14434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91000">
      <w:bodyDiv w:val="1"/>
      <w:marLeft w:val="0"/>
      <w:marRight w:val="0"/>
      <w:marTop w:val="0"/>
      <w:marBottom w:val="0"/>
      <w:divBdr>
        <w:top w:val="none" w:sz="0" w:space="0" w:color="auto"/>
        <w:left w:val="none" w:sz="0" w:space="0" w:color="auto"/>
        <w:bottom w:val="none" w:sz="0" w:space="0" w:color="auto"/>
        <w:right w:val="none" w:sz="0" w:space="0" w:color="auto"/>
      </w:divBdr>
      <w:divsChild>
        <w:div w:id="595552661">
          <w:marLeft w:val="0"/>
          <w:marRight w:val="0"/>
          <w:marTop w:val="0"/>
          <w:marBottom w:val="0"/>
          <w:divBdr>
            <w:top w:val="single" w:sz="48" w:space="0" w:color="435258"/>
            <w:left w:val="single" w:sz="48" w:space="0" w:color="435258"/>
            <w:bottom w:val="single" w:sz="48" w:space="0" w:color="435258"/>
            <w:right w:val="single" w:sz="48" w:space="0" w:color="435258"/>
          </w:divBdr>
          <w:divsChild>
            <w:div w:id="567227677">
              <w:marLeft w:val="0"/>
              <w:marRight w:val="0"/>
              <w:marTop w:val="0"/>
              <w:marBottom w:val="0"/>
              <w:divBdr>
                <w:top w:val="none" w:sz="0" w:space="0" w:color="auto"/>
                <w:left w:val="none" w:sz="0" w:space="0" w:color="auto"/>
                <w:bottom w:val="none" w:sz="0" w:space="0" w:color="auto"/>
                <w:right w:val="none" w:sz="0" w:space="0" w:color="auto"/>
              </w:divBdr>
              <w:divsChild>
                <w:div w:id="1060248512">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 w:id="614756458">
      <w:bodyDiv w:val="1"/>
      <w:marLeft w:val="0"/>
      <w:marRight w:val="0"/>
      <w:marTop w:val="0"/>
      <w:marBottom w:val="0"/>
      <w:divBdr>
        <w:top w:val="none" w:sz="0" w:space="0" w:color="auto"/>
        <w:left w:val="none" w:sz="0" w:space="0" w:color="auto"/>
        <w:bottom w:val="none" w:sz="0" w:space="0" w:color="auto"/>
        <w:right w:val="none" w:sz="0" w:space="0" w:color="auto"/>
      </w:divBdr>
      <w:divsChild>
        <w:div w:id="203249838">
          <w:marLeft w:val="0"/>
          <w:marRight w:val="0"/>
          <w:marTop w:val="0"/>
          <w:marBottom w:val="0"/>
          <w:divBdr>
            <w:top w:val="single" w:sz="48" w:space="0" w:color="435258"/>
            <w:left w:val="single" w:sz="48" w:space="0" w:color="435258"/>
            <w:bottom w:val="single" w:sz="48" w:space="0" w:color="435258"/>
            <w:right w:val="single" w:sz="48" w:space="0" w:color="435258"/>
          </w:divBdr>
          <w:divsChild>
            <w:div w:id="1810051940">
              <w:marLeft w:val="0"/>
              <w:marRight w:val="0"/>
              <w:marTop w:val="0"/>
              <w:marBottom w:val="0"/>
              <w:divBdr>
                <w:top w:val="none" w:sz="0" w:space="0" w:color="auto"/>
                <w:left w:val="none" w:sz="0" w:space="0" w:color="auto"/>
                <w:bottom w:val="none" w:sz="0" w:space="0" w:color="auto"/>
                <w:right w:val="none" w:sz="0" w:space="0" w:color="auto"/>
              </w:divBdr>
              <w:divsChild>
                <w:div w:id="967206121">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 w:id="723062125">
      <w:bodyDiv w:val="1"/>
      <w:marLeft w:val="0"/>
      <w:marRight w:val="0"/>
      <w:marTop w:val="0"/>
      <w:marBottom w:val="0"/>
      <w:divBdr>
        <w:top w:val="none" w:sz="0" w:space="0" w:color="auto"/>
        <w:left w:val="none" w:sz="0" w:space="0" w:color="auto"/>
        <w:bottom w:val="none" w:sz="0" w:space="0" w:color="auto"/>
        <w:right w:val="none" w:sz="0" w:space="0" w:color="auto"/>
      </w:divBdr>
      <w:divsChild>
        <w:div w:id="1205750126">
          <w:marLeft w:val="0"/>
          <w:marRight w:val="0"/>
          <w:marTop w:val="0"/>
          <w:marBottom w:val="0"/>
          <w:divBdr>
            <w:top w:val="none" w:sz="0" w:space="0" w:color="auto"/>
            <w:left w:val="none" w:sz="0" w:space="0" w:color="auto"/>
            <w:bottom w:val="none" w:sz="0" w:space="0" w:color="auto"/>
            <w:right w:val="none" w:sz="0" w:space="0" w:color="auto"/>
          </w:divBdr>
          <w:divsChild>
            <w:div w:id="805780739">
              <w:marLeft w:val="0"/>
              <w:marRight w:val="0"/>
              <w:marTop w:val="0"/>
              <w:marBottom w:val="0"/>
              <w:divBdr>
                <w:top w:val="none" w:sz="0" w:space="0" w:color="auto"/>
                <w:left w:val="none" w:sz="0" w:space="0" w:color="auto"/>
                <w:bottom w:val="none" w:sz="0" w:space="0" w:color="auto"/>
                <w:right w:val="none" w:sz="0" w:space="0" w:color="auto"/>
              </w:divBdr>
              <w:divsChild>
                <w:div w:id="11957688">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 w:id="1089734668">
      <w:bodyDiv w:val="1"/>
      <w:marLeft w:val="0"/>
      <w:marRight w:val="0"/>
      <w:marTop w:val="0"/>
      <w:marBottom w:val="0"/>
      <w:divBdr>
        <w:top w:val="none" w:sz="0" w:space="0" w:color="auto"/>
        <w:left w:val="none" w:sz="0" w:space="0" w:color="auto"/>
        <w:bottom w:val="none" w:sz="0" w:space="0" w:color="auto"/>
        <w:right w:val="none" w:sz="0" w:space="0" w:color="auto"/>
      </w:divBdr>
      <w:divsChild>
        <w:div w:id="1751265819">
          <w:marLeft w:val="0"/>
          <w:marRight w:val="0"/>
          <w:marTop w:val="0"/>
          <w:marBottom w:val="0"/>
          <w:divBdr>
            <w:top w:val="single" w:sz="48" w:space="0" w:color="435258"/>
            <w:left w:val="single" w:sz="48" w:space="0" w:color="435258"/>
            <w:bottom w:val="single" w:sz="48" w:space="0" w:color="435258"/>
            <w:right w:val="single" w:sz="48" w:space="0" w:color="435258"/>
          </w:divBdr>
          <w:divsChild>
            <w:div w:id="2013407744">
              <w:marLeft w:val="0"/>
              <w:marRight w:val="0"/>
              <w:marTop w:val="0"/>
              <w:marBottom w:val="0"/>
              <w:divBdr>
                <w:top w:val="none" w:sz="0" w:space="0" w:color="auto"/>
                <w:left w:val="none" w:sz="0" w:space="0" w:color="auto"/>
                <w:bottom w:val="none" w:sz="0" w:space="0" w:color="auto"/>
                <w:right w:val="none" w:sz="0" w:space="0" w:color="auto"/>
              </w:divBdr>
              <w:divsChild>
                <w:div w:id="1355687621">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 w:id="1494225087">
      <w:bodyDiv w:val="1"/>
      <w:marLeft w:val="0"/>
      <w:marRight w:val="0"/>
      <w:marTop w:val="0"/>
      <w:marBottom w:val="0"/>
      <w:divBdr>
        <w:top w:val="none" w:sz="0" w:space="0" w:color="auto"/>
        <w:left w:val="none" w:sz="0" w:space="0" w:color="auto"/>
        <w:bottom w:val="none" w:sz="0" w:space="0" w:color="auto"/>
        <w:right w:val="none" w:sz="0" w:space="0" w:color="auto"/>
      </w:divBdr>
      <w:divsChild>
        <w:div w:id="1993095374">
          <w:marLeft w:val="0"/>
          <w:marRight w:val="0"/>
          <w:marTop w:val="0"/>
          <w:marBottom w:val="0"/>
          <w:divBdr>
            <w:top w:val="single" w:sz="48" w:space="0" w:color="435258"/>
            <w:left w:val="single" w:sz="48" w:space="0" w:color="435258"/>
            <w:bottom w:val="single" w:sz="48" w:space="0" w:color="435258"/>
            <w:right w:val="single" w:sz="48" w:space="0" w:color="435258"/>
          </w:divBdr>
          <w:divsChild>
            <w:div w:id="1222211232">
              <w:marLeft w:val="0"/>
              <w:marRight w:val="0"/>
              <w:marTop w:val="0"/>
              <w:marBottom w:val="0"/>
              <w:divBdr>
                <w:top w:val="none" w:sz="0" w:space="0" w:color="auto"/>
                <w:left w:val="none" w:sz="0" w:space="0" w:color="auto"/>
                <w:bottom w:val="none" w:sz="0" w:space="0" w:color="auto"/>
                <w:right w:val="none" w:sz="0" w:space="0" w:color="auto"/>
              </w:divBdr>
              <w:divsChild>
                <w:div w:id="100220520">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 w:id="1883395547">
      <w:bodyDiv w:val="1"/>
      <w:marLeft w:val="0"/>
      <w:marRight w:val="0"/>
      <w:marTop w:val="0"/>
      <w:marBottom w:val="0"/>
      <w:divBdr>
        <w:top w:val="none" w:sz="0" w:space="0" w:color="auto"/>
        <w:left w:val="none" w:sz="0" w:space="0" w:color="auto"/>
        <w:bottom w:val="none" w:sz="0" w:space="0" w:color="auto"/>
        <w:right w:val="none" w:sz="0" w:space="0" w:color="auto"/>
      </w:divBdr>
      <w:divsChild>
        <w:div w:id="1605260544">
          <w:marLeft w:val="0"/>
          <w:marRight w:val="0"/>
          <w:marTop w:val="0"/>
          <w:marBottom w:val="0"/>
          <w:divBdr>
            <w:top w:val="single" w:sz="48" w:space="0" w:color="435258"/>
            <w:left w:val="single" w:sz="48" w:space="0" w:color="435258"/>
            <w:bottom w:val="single" w:sz="48" w:space="0" w:color="435258"/>
            <w:right w:val="single" w:sz="48" w:space="0" w:color="435258"/>
          </w:divBdr>
          <w:divsChild>
            <w:div w:id="1623537433">
              <w:marLeft w:val="0"/>
              <w:marRight w:val="0"/>
              <w:marTop w:val="0"/>
              <w:marBottom w:val="0"/>
              <w:divBdr>
                <w:top w:val="none" w:sz="0" w:space="0" w:color="auto"/>
                <w:left w:val="none" w:sz="0" w:space="0" w:color="auto"/>
                <w:bottom w:val="none" w:sz="0" w:space="0" w:color="auto"/>
                <w:right w:val="none" w:sz="0" w:space="0" w:color="auto"/>
              </w:divBdr>
              <w:divsChild>
                <w:div w:id="744453361">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 w:id="1886988922">
      <w:bodyDiv w:val="1"/>
      <w:marLeft w:val="0"/>
      <w:marRight w:val="0"/>
      <w:marTop w:val="0"/>
      <w:marBottom w:val="0"/>
      <w:divBdr>
        <w:top w:val="none" w:sz="0" w:space="0" w:color="auto"/>
        <w:left w:val="none" w:sz="0" w:space="0" w:color="auto"/>
        <w:bottom w:val="none" w:sz="0" w:space="0" w:color="auto"/>
        <w:right w:val="none" w:sz="0" w:space="0" w:color="auto"/>
      </w:divBdr>
      <w:divsChild>
        <w:div w:id="686833041">
          <w:marLeft w:val="0"/>
          <w:marRight w:val="0"/>
          <w:marTop w:val="0"/>
          <w:marBottom w:val="0"/>
          <w:divBdr>
            <w:top w:val="single" w:sz="48" w:space="0" w:color="435258"/>
            <w:left w:val="single" w:sz="48" w:space="0" w:color="435258"/>
            <w:bottom w:val="single" w:sz="48" w:space="0" w:color="435258"/>
            <w:right w:val="single" w:sz="48" w:space="0" w:color="435258"/>
          </w:divBdr>
          <w:divsChild>
            <w:div w:id="1623997845">
              <w:marLeft w:val="0"/>
              <w:marRight w:val="0"/>
              <w:marTop w:val="0"/>
              <w:marBottom w:val="0"/>
              <w:divBdr>
                <w:top w:val="none" w:sz="0" w:space="0" w:color="auto"/>
                <w:left w:val="none" w:sz="0" w:space="0" w:color="auto"/>
                <w:bottom w:val="none" w:sz="0" w:space="0" w:color="auto"/>
                <w:right w:val="none" w:sz="0" w:space="0" w:color="auto"/>
              </w:divBdr>
              <w:divsChild>
                <w:div w:id="2041081392">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 w:id="2028364639">
      <w:bodyDiv w:val="1"/>
      <w:marLeft w:val="0"/>
      <w:marRight w:val="0"/>
      <w:marTop w:val="0"/>
      <w:marBottom w:val="0"/>
      <w:divBdr>
        <w:top w:val="none" w:sz="0" w:space="0" w:color="auto"/>
        <w:left w:val="none" w:sz="0" w:space="0" w:color="auto"/>
        <w:bottom w:val="none" w:sz="0" w:space="0" w:color="auto"/>
        <w:right w:val="none" w:sz="0" w:space="0" w:color="auto"/>
      </w:divBdr>
      <w:divsChild>
        <w:div w:id="270481742">
          <w:marLeft w:val="0"/>
          <w:marRight w:val="0"/>
          <w:marTop w:val="0"/>
          <w:marBottom w:val="0"/>
          <w:divBdr>
            <w:top w:val="single" w:sz="48" w:space="0" w:color="435258"/>
            <w:left w:val="single" w:sz="48" w:space="0" w:color="435258"/>
            <w:bottom w:val="single" w:sz="48" w:space="0" w:color="435258"/>
            <w:right w:val="single" w:sz="48" w:space="0" w:color="435258"/>
          </w:divBdr>
          <w:divsChild>
            <w:div w:id="2043550859">
              <w:marLeft w:val="0"/>
              <w:marRight w:val="0"/>
              <w:marTop w:val="0"/>
              <w:marBottom w:val="0"/>
              <w:divBdr>
                <w:top w:val="none" w:sz="0" w:space="0" w:color="auto"/>
                <w:left w:val="none" w:sz="0" w:space="0" w:color="auto"/>
                <w:bottom w:val="none" w:sz="0" w:space="0" w:color="auto"/>
                <w:right w:val="none" w:sz="0" w:space="0" w:color="auto"/>
              </w:divBdr>
              <w:divsChild>
                <w:div w:id="1664166574">
                  <w:marLeft w:val="104"/>
                  <w:marRight w:val="10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Documents\microsoft%20data%20files\EXCEL\regnier%20sdwis%20by%20stat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ohn\Documents\microsoft%20data%20files\EXCEL\regnier%20sdwis%20by%20stat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ohn\Documents\microsoft%20data%20files\EXCEL\regnier%20sdwis%20by%20stat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ohn\Documents\microsoft%20data%20files\EXCEL\regnier%20sdwis%20by%20stat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ohn\Documents\microsoft%20data%20files\EXCEL\regnier%20sdwis%20by%20st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hn\Documents\microsoft%20data%20files\EXCEL\regnier%20sdwis%20by%20st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hn\Documents\microsoft%20data%20files\EXCEL\regnier%20sdwis%20by%20st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hn\Documents\microsoft%20data%20files\EXCEL\regnier%20sdwis%20by%20st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regnier%20sdwis%20by%20sta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hn\Documents\microsoft%20data%20files\EXCEL\regnier%20sdwis%20by%20stat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regnier%20sdwis%20by%20stat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ohn\Documents\microsoft%20data%20files\EXCEL\regnier%20sdwis%20by%20st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Ratio CWS Population Served to 2010 Census Population (sums)</a:t>
            </a:r>
          </a:p>
        </c:rich>
      </c:tx>
    </c:title>
    <c:plotArea>
      <c:layout/>
      <c:scatterChart>
        <c:scatterStyle val="lineMarker"/>
        <c:ser>
          <c:idx val="0"/>
          <c:order val="0"/>
          <c:tx>
            <c:strRef>
              <c:f>'Summary Data'!$A$4</c:f>
              <c:strCache>
                <c:ptCount val="1"/>
                <c:pt idx="0">
                  <c:v>Ratio CWS population served to 2010 Census Population (sums)</c:v>
                </c:pt>
              </c:strCache>
            </c:strRef>
          </c:tx>
          <c:spPr>
            <a:ln w="28575">
              <a:noFill/>
            </a:ln>
          </c:spPr>
          <c:yVal>
            <c:numRef>
              <c:f>'Summary Data'!$B$4:$AY$4</c:f>
              <c:numCache>
                <c:formatCode>#,##0.00</c:formatCode>
                <c:ptCount val="50"/>
                <c:pt idx="0">
                  <c:v>1.152859202886874</c:v>
                </c:pt>
                <c:pt idx="1">
                  <c:v>0.81532536038352543</c:v>
                </c:pt>
                <c:pt idx="2">
                  <c:v>0.9655716001060396</c:v>
                </c:pt>
                <c:pt idx="3">
                  <c:v>0.92116611516050151</c:v>
                </c:pt>
                <c:pt idx="4">
                  <c:v>1.0834698976532757</c:v>
                </c:pt>
                <c:pt idx="5">
                  <c:v>1.06174000432117</c:v>
                </c:pt>
                <c:pt idx="6">
                  <c:v>0.74297526152912052</c:v>
                </c:pt>
                <c:pt idx="7">
                  <c:v>0.99596615298203428</c:v>
                </c:pt>
                <c:pt idx="8">
                  <c:v>1.0131737469150071</c:v>
                </c:pt>
                <c:pt idx="9">
                  <c:v>0.86357985132149695</c:v>
                </c:pt>
                <c:pt idx="10">
                  <c:v>1.0644563972076178</c:v>
                </c:pt>
                <c:pt idx="11">
                  <c:v>0.69898169620699246</c:v>
                </c:pt>
                <c:pt idx="12">
                  <c:v>0.94093504700576325</c:v>
                </c:pt>
                <c:pt idx="13">
                  <c:v>0.74901108684009565</c:v>
                </c:pt>
                <c:pt idx="14">
                  <c:v>0.87580076802999063</c:v>
                </c:pt>
                <c:pt idx="15">
                  <c:v>0.92158007523535856</c:v>
                </c:pt>
                <c:pt idx="16">
                  <c:v>1.0208297418796304</c:v>
                </c:pt>
                <c:pt idx="17">
                  <c:v>1.0803443243487845</c:v>
                </c:pt>
                <c:pt idx="18">
                  <c:v>0.49938488035923484</c:v>
                </c:pt>
                <c:pt idx="19">
                  <c:v>0.89010780615789975</c:v>
                </c:pt>
                <c:pt idx="20">
                  <c:v>1.4218178608473264</c:v>
                </c:pt>
                <c:pt idx="21">
                  <c:v>0.76843718679457862</c:v>
                </c:pt>
                <c:pt idx="22">
                  <c:v>0.79952751511370268</c:v>
                </c:pt>
                <c:pt idx="23">
                  <c:v>1.0522392419684108</c:v>
                </c:pt>
                <c:pt idx="24">
                  <c:v>0.86470481967995672</c:v>
                </c:pt>
                <c:pt idx="25">
                  <c:v>0.71624149249409674</c:v>
                </c:pt>
                <c:pt idx="26">
                  <c:v>0.80797073956300836</c:v>
                </c:pt>
                <c:pt idx="27">
                  <c:v>0.93718277483989254</c:v>
                </c:pt>
                <c:pt idx="28">
                  <c:v>0.64722784527543764</c:v>
                </c:pt>
                <c:pt idx="29">
                  <c:v>1.0216206617518409</c:v>
                </c:pt>
                <c:pt idx="30">
                  <c:v>0.86794729094803091</c:v>
                </c:pt>
                <c:pt idx="31">
                  <c:v>0.92262665442222369</c:v>
                </c:pt>
                <c:pt idx="32">
                  <c:v>0.78843379333062258</c:v>
                </c:pt>
                <c:pt idx="33">
                  <c:v>0.84153690237533352</c:v>
                </c:pt>
                <c:pt idx="34">
                  <c:v>0.91334542652263762</c:v>
                </c:pt>
                <c:pt idx="35">
                  <c:v>0.93968018121152252</c:v>
                </c:pt>
                <c:pt idx="36">
                  <c:v>0.84185312811963608</c:v>
                </c:pt>
                <c:pt idx="37">
                  <c:v>0.84606253442801493</c:v>
                </c:pt>
                <c:pt idx="38">
                  <c:v>0.94259448261876466</c:v>
                </c:pt>
                <c:pt idx="39">
                  <c:v>0.82667642421666054</c:v>
                </c:pt>
                <c:pt idx="40">
                  <c:v>0.87217249905765148</c:v>
                </c:pt>
                <c:pt idx="41">
                  <c:v>0.97612679048679263</c:v>
                </c:pt>
                <c:pt idx="42">
                  <c:v>0.9948264667776161</c:v>
                </c:pt>
                <c:pt idx="43">
                  <c:v>0.97694643897985223</c:v>
                </c:pt>
                <c:pt idx="44">
                  <c:v>0.71258231707800745</c:v>
                </c:pt>
                <c:pt idx="45">
                  <c:v>0.81736163019039265</c:v>
                </c:pt>
                <c:pt idx="46">
                  <c:v>0.95009468607446523</c:v>
                </c:pt>
                <c:pt idx="47">
                  <c:v>0.80940469885445598</c:v>
                </c:pt>
                <c:pt idx="48">
                  <c:v>0.70115913187077394</c:v>
                </c:pt>
                <c:pt idx="49">
                  <c:v>0.79149920816470265</c:v>
                </c:pt>
              </c:numCache>
            </c:numRef>
          </c:yVal>
        </c:ser>
        <c:axId val="108448768"/>
        <c:axId val="35759232"/>
      </c:scatterChart>
      <c:valAx>
        <c:axId val="108448768"/>
        <c:scaling>
          <c:orientation val="minMax"/>
        </c:scaling>
        <c:axPos val="b"/>
        <c:title>
          <c:tx>
            <c:rich>
              <a:bodyPr/>
              <a:lstStyle/>
              <a:p>
                <a:pPr>
                  <a:defRPr/>
                </a:pPr>
                <a:r>
                  <a:rPr lang="en-US"/>
                  <a:t>Individual States</a:t>
                </a:r>
              </a:p>
            </c:rich>
          </c:tx>
        </c:title>
        <c:majorTickMark val="none"/>
        <c:tickLblPos val="nextTo"/>
        <c:crossAx val="35759232"/>
        <c:crosses val="autoZero"/>
        <c:crossBetween val="midCat"/>
      </c:valAx>
      <c:valAx>
        <c:axId val="35759232"/>
        <c:scaling>
          <c:orientation val="minMax"/>
        </c:scaling>
        <c:axPos val="l"/>
        <c:majorGridlines/>
        <c:title>
          <c:tx>
            <c:rich>
              <a:bodyPr/>
              <a:lstStyle/>
              <a:p>
                <a:pPr>
                  <a:defRPr/>
                </a:pPr>
                <a:r>
                  <a:rPr lang="en-US"/>
                  <a:t>Ratio CWS Pop To Total</a:t>
                </a:r>
              </a:p>
            </c:rich>
          </c:tx>
        </c:title>
        <c:numFmt formatCode="#,##0.00" sourceLinked="1"/>
        <c:majorTickMark val="none"/>
        <c:tickLblPos val="nextTo"/>
        <c:crossAx val="108448768"/>
        <c:crosses val="autoZero"/>
        <c:crossBetween val="midCat"/>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plotArea>
      <c:layout/>
      <c:scatterChart>
        <c:scatterStyle val="lineMarker"/>
        <c:ser>
          <c:idx val="0"/>
          <c:order val="0"/>
          <c:tx>
            <c:strRef>
              <c:f>'EPA Regions'!$A$16</c:f>
              <c:strCache>
                <c:ptCount val="1"/>
                <c:pt idx="0">
                  <c:v>Total TNCs</c:v>
                </c:pt>
              </c:strCache>
            </c:strRef>
          </c:tx>
          <c:spPr>
            <a:ln w="28575">
              <a:noFill/>
            </a:ln>
          </c:spPr>
          <c:yVal>
            <c:numRef>
              <c:f>'EPA Regions'!$B$16:$AY$16</c:f>
              <c:numCache>
                <c:formatCode>#,##0</c:formatCode>
                <c:ptCount val="50"/>
                <c:pt idx="0">
                  <c:v>1455</c:v>
                </c:pt>
                <c:pt idx="1">
                  <c:v>1150</c:v>
                </c:pt>
                <c:pt idx="2">
                  <c:v>939</c:v>
                </c:pt>
                <c:pt idx="3">
                  <c:v>318</c:v>
                </c:pt>
                <c:pt idx="4">
                  <c:v>678</c:v>
                </c:pt>
                <c:pt idx="5">
                  <c:v>1280</c:v>
                </c:pt>
                <c:pt idx="6">
                  <c:v>2507</c:v>
                </c:pt>
                <c:pt idx="7">
                  <c:v>5812</c:v>
                </c:pt>
                <c:pt idx="8">
                  <c:v>187</c:v>
                </c:pt>
                <c:pt idx="9">
                  <c:v>2448</c:v>
                </c:pt>
                <c:pt idx="10">
                  <c:v>6010</c:v>
                </c:pt>
                <c:pt idx="11">
                  <c:v>1084</c:v>
                </c:pt>
                <c:pt idx="12">
                  <c:v>434</c:v>
                </c:pt>
                <c:pt idx="13">
                  <c:v>59</c:v>
                </c:pt>
                <c:pt idx="14">
                  <c:v>2962</c:v>
                </c:pt>
                <c:pt idx="15">
                  <c:v>468</c:v>
                </c:pt>
                <c:pt idx="16">
                  <c:v>42</c:v>
                </c:pt>
                <c:pt idx="17">
                  <c:v>73</c:v>
                </c:pt>
                <c:pt idx="18">
                  <c:v>3639</c:v>
                </c:pt>
                <c:pt idx="19">
                  <c:v>729</c:v>
                </c:pt>
                <c:pt idx="20">
                  <c:v>337</c:v>
                </c:pt>
                <c:pt idx="21">
                  <c:v>3506</c:v>
                </c:pt>
                <c:pt idx="22">
                  <c:v>2833</c:v>
                </c:pt>
                <c:pt idx="23">
                  <c:v>8543</c:v>
                </c:pt>
                <c:pt idx="24">
                  <c:v>5693</c:v>
                </c:pt>
                <c:pt idx="25">
                  <c:v>2930</c:v>
                </c:pt>
                <c:pt idx="26">
                  <c:v>9492</c:v>
                </c:pt>
                <c:pt idx="27">
                  <c:v>356</c:v>
                </c:pt>
                <c:pt idx="28">
                  <c:v>215</c:v>
                </c:pt>
                <c:pt idx="29">
                  <c:v>397</c:v>
                </c:pt>
                <c:pt idx="30">
                  <c:v>1279</c:v>
                </c:pt>
                <c:pt idx="31">
                  <c:v>653</c:v>
                </c:pt>
                <c:pt idx="32">
                  <c:v>91</c:v>
                </c:pt>
                <c:pt idx="33">
                  <c:v>1081</c:v>
                </c:pt>
                <c:pt idx="34">
                  <c:v>571</c:v>
                </c:pt>
                <c:pt idx="35">
                  <c:v>446</c:v>
                </c:pt>
                <c:pt idx="36">
                  <c:v>999</c:v>
                </c:pt>
                <c:pt idx="37">
                  <c:v>1143</c:v>
                </c:pt>
                <c:pt idx="38">
                  <c:v>154</c:v>
                </c:pt>
                <c:pt idx="39">
                  <c:v>170</c:v>
                </c:pt>
                <c:pt idx="40">
                  <c:v>488</c:v>
                </c:pt>
                <c:pt idx="41">
                  <c:v>387</c:v>
                </c:pt>
                <c:pt idx="42">
                  <c:v>577</c:v>
                </c:pt>
                <c:pt idx="43">
                  <c:v>3138</c:v>
                </c:pt>
                <c:pt idx="44">
                  <c:v>2</c:v>
                </c:pt>
                <c:pt idx="45">
                  <c:v>237</c:v>
                </c:pt>
                <c:pt idx="46">
                  <c:v>884</c:v>
                </c:pt>
                <c:pt idx="47">
                  <c:v>987</c:v>
                </c:pt>
                <c:pt idx="48">
                  <c:v>1416</c:v>
                </c:pt>
                <c:pt idx="49">
                  <c:v>1540</c:v>
                </c:pt>
              </c:numCache>
            </c:numRef>
          </c:yVal>
        </c:ser>
        <c:axId val="35923840"/>
        <c:axId val="35930112"/>
      </c:scatterChart>
      <c:valAx>
        <c:axId val="35923840"/>
        <c:scaling>
          <c:orientation val="minMax"/>
        </c:scaling>
        <c:axPos val="b"/>
        <c:title>
          <c:tx>
            <c:rich>
              <a:bodyPr/>
              <a:lstStyle/>
              <a:p>
                <a:pPr>
                  <a:defRPr/>
                </a:pPr>
                <a:r>
                  <a:rPr lang="en-US"/>
                  <a:t>States</a:t>
                </a:r>
              </a:p>
            </c:rich>
          </c:tx>
        </c:title>
        <c:tickLblPos val="nextTo"/>
        <c:crossAx val="35930112"/>
        <c:crosses val="autoZero"/>
        <c:crossBetween val="midCat"/>
      </c:valAx>
      <c:valAx>
        <c:axId val="35930112"/>
        <c:scaling>
          <c:orientation val="minMax"/>
        </c:scaling>
        <c:axPos val="l"/>
        <c:majorGridlines/>
        <c:title>
          <c:tx>
            <c:rich>
              <a:bodyPr rot="0" vert="wordArtVert"/>
              <a:lstStyle/>
              <a:p>
                <a:pPr>
                  <a:defRPr/>
                </a:pPr>
                <a:r>
                  <a:rPr lang="en-US" sz="800"/>
                  <a:t>Systems</a:t>
                </a:r>
              </a:p>
            </c:rich>
          </c:tx>
          <c:layout>
            <c:manualLayout>
              <c:xMode val="edge"/>
              <c:yMode val="edge"/>
              <c:x val="3.0546395645575316E-2"/>
              <c:y val="0.15598346841001348"/>
            </c:manualLayout>
          </c:layout>
        </c:title>
        <c:numFmt formatCode="#,##0" sourceLinked="1"/>
        <c:tickLblPos val="nextTo"/>
        <c:crossAx val="35923840"/>
        <c:crosses val="autoZero"/>
        <c:crossBetween val="midCat"/>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plotArea>
      <c:layout/>
      <c:scatterChart>
        <c:scatterStyle val="lineMarker"/>
        <c:ser>
          <c:idx val="0"/>
          <c:order val="0"/>
          <c:tx>
            <c:strRef>
              <c:f>'EPA Regions'!$A$13</c:f>
              <c:strCache>
                <c:ptCount val="1"/>
                <c:pt idx="0">
                  <c:v>Total NTNCs</c:v>
                </c:pt>
              </c:strCache>
            </c:strRef>
          </c:tx>
          <c:spPr>
            <a:ln w="28575">
              <a:noFill/>
            </a:ln>
          </c:spPr>
          <c:xVal>
            <c:numRef>
              <c:f>'EPA Regions'!$B$12:$AY$12</c:f>
              <c:numCache>
                <c:formatCode>0</c:formatCode>
                <c:ptCount val="50"/>
                <c:pt idx="0">
                  <c:v>1</c:v>
                </c:pt>
                <c:pt idx="1">
                  <c:v>1</c:v>
                </c:pt>
                <c:pt idx="2">
                  <c:v>1</c:v>
                </c:pt>
                <c:pt idx="3">
                  <c:v>1</c:v>
                </c:pt>
                <c:pt idx="4">
                  <c:v>1</c:v>
                </c:pt>
                <c:pt idx="5">
                  <c:v>2</c:v>
                </c:pt>
                <c:pt idx="6">
                  <c:v>2</c:v>
                </c:pt>
                <c:pt idx="7">
                  <c:v>2</c:v>
                </c:pt>
                <c:pt idx="8">
                  <c:v>3</c:v>
                </c:pt>
                <c:pt idx="9">
                  <c:v>3</c:v>
                </c:pt>
                <c:pt idx="10">
                  <c:v>3</c:v>
                </c:pt>
                <c:pt idx="11">
                  <c:v>3</c:v>
                </c:pt>
                <c:pt idx="12">
                  <c:v>3</c:v>
                </c:pt>
                <c:pt idx="13">
                  <c:v>4</c:v>
                </c:pt>
                <c:pt idx="14">
                  <c:v>4</c:v>
                </c:pt>
                <c:pt idx="15">
                  <c:v>4</c:v>
                </c:pt>
                <c:pt idx="16">
                  <c:v>4</c:v>
                </c:pt>
                <c:pt idx="17">
                  <c:v>4</c:v>
                </c:pt>
                <c:pt idx="18">
                  <c:v>4</c:v>
                </c:pt>
                <c:pt idx="19">
                  <c:v>4</c:v>
                </c:pt>
                <c:pt idx="20">
                  <c:v>4</c:v>
                </c:pt>
                <c:pt idx="21">
                  <c:v>5</c:v>
                </c:pt>
                <c:pt idx="22">
                  <c:v>5</c:v>
                </c:pt>
                <c:pt idx="23">
                  <c:v>5</c:v>
                </c:pt>
                <c:pt idx="24">
                  <c:v>5</c:v>
                </c:pt>
                <c:pt idx="25">
                  <c:v>5</c:v>
                </c:pt>
                <c:pt idx="26">
                  <c:v>5</c:v>
                </c:pt>
                <c:pt idx="27">
                  <c:v>6</c:v>
                </c:pt>
                <c:pt idx="28">
                  <c:v>6</c:v>
                </c:pt>
                <c:pt idx="29">
                  <c:v>6</c:v>
                </c:pt>
                <c:pt idx="30">
                  <c:v>6</c:v>
                </c:pt>
                <c:pt idx="31">
                  <c:v>7</c:v>
                </c:pt>
                <c:pt idx="32">
                  <c:v>7</c:v>
                </c:pt>
                <c:pt idx="33">
                  <c:v>7</c:v>
                </c:pt>
                <c:pt idx="34">
                  <c:v>7</c:v>
                </c:pt>
                <c:pt idx="35">
                  <c:v>7</c:v>
                </c:pt>
                <c:pt idx="36">
                  <c:v>8</c:v>
                </c:pt>
                <c:pt idx="37">
                  <c:v>8</c:v>
                </c:pt>
                <c:pt idx="38">
                  <c:v>8</c:v>
                </c:pt>
                <c:pt idx="39">
                  <c:v>8</c:v>
                </c:pt>
                <c:pt idx="40">
                  <c:v>8</c:v>
                </c:pt>
                <c:pt idx="41">
                  <c:v>8</c:v>
                </c:pt>
                <c:pt idx="42">
                  <c:v>9</c:v>
                </c:pt>
                <c:pt idx="43">
                  <c:v>9</c:v>
                </c:pt>
                <c:pt idx="44">
                  <c:v>9</c:v>
                </c:pt>
                <c:pt idx="45">
                  <c:v>9</c:v>
                </c:pt>
                <c:pt idx="46">
                  <c:v>10</c:v>
                </c:pt>
                <c:pt idx="47">
                  <c:v>10</c:v>
                </c:pt>
                <c:pt idx="48">
                  <c:v>10</c:v>
                </c:pt>
                <c:pt idx="49">
                  <c:v>10</c:v>
                </c:pt>
              </c:numCache>
            </c:numRef>
          </c:xVal>
          <c:yVal>
            <c:numRef>
              <c:f>'EPA Regions'!$B$13:$AY$13</c:f>
              <c:numCache>
                <c:formatCode>#,##0</c:formatCode>
                <c:ptCount val="50"/>
                <c:pt idx="0">
                  <c:v>589</c:v>
                </c:pt>
                <c:pt idx="1">
                  <c:v>355</c:v>
                </c:pt>
                <c:pt idx="2">
                  <c:v>271</c:v>
                </c:pt>
                <c:pt idx="3">
                  <c:v>80</c:v>
                </c:pt>
                <c:pt idx="4">
                  <c:v>242</c:v>
                </c:pt>
                <c:pt idx="5">
                  <c:v>442</c:v>
                </c:pt>
                <c:pt idx="6">
                  <c:v>805</c:v>
                </c:pt>
                <c:pt idx="7">
                  <c:v>748</c:v>
                </c:pt>
                <c:pt idx="8">
                  <c:v>82</c:v>
                </c:pt>
                <c:pt idx="9">
                  <c:v>557</c:v>
                </c:pt>
                <c:pt idx="10">
                  <c:v>1224</c:v>
                </c:pt>
                <c:pt idx="11">
                  <c:v>560</c:v>
                </c:pt>
                <c:pt idx="12">
                  <c:v>125</c:v>
                </c:pt>
                <c:pt idx="13">
                  <c:v>22</c:v>
                </c:pt>
                <c:pt idx="14">
                  <c:v>879</c:v>
                </c:pt>
                <c:pt idx="15">
                  <c:v>194</c:v>
                </c:pt>
                <c:pt idx="16">
                  <c:v>24</c:v>
                </c:pt>
                <c:pt idx="17">
                  <c:v>84</c:v>
                </c:pt>
                <c:pt idx="18">
                  <c:v>419</c:v>
                </c:pt>
                <c:pt idx="19">
                  <c:v>126</c:v>
                </c:pt>
                <c:pt idx="20">
                  <c:v>44</c:v>
                </c:pt>
                <c:pt idx="21">
                  <c:v>406</c:v>
                </c:pt>
                <c:pt idx="22">
                  <c:v>581</c:v>
                </c:pt>
                <c:pt idx="23">
                  <c:v>1373</c:v>
                </c:pt>
                <c:pt idx="24">
                  <c:v>514</c:v>
                </c:pt>
                <c:pt idx="25">
                  <c:v>747</c:v>
                </c:pt>
                <c:pt idx="26">
                  <c:v>862</c:v>
                </c:pt>
                <c:pt idx="27">
                  <c:v>34</c:v>
                </c:pt>
                <c:pt idx="28">
                  <c:v>146</c:v>
                </c:pt>
                <c:pt idx="29">
                  <c:v>105</c:v>
                </c:pt>
                <c:pt idx="30">
                  <c:v>877</c:v>
                </c:pt>
                <c:pt idx="31">
                  <c:v>137</c:v>
                </c:pt>
                <c:pt idx="32">
                  <c:v>45</c:v>
                </c:pt>
                <c:pt idx="33">
                  <c:v>244</c:v>
                </c:pt>
                <c:pt idx="34">
                  <c:v>164</c:v>
                </c:pt>
                <c:pt idx="35">
                  <c:v>151</c:v>
                </c:pt>
                <c:pt idx="36">
                  <c:v>173</c:v>
                </c:pt>
                <c:pt idx="37">
                  <c:v>256</c:v>
                </c:pt>
                <c:pt idx="38">
                  <c:v>22</c:v>
                </c:pt>
                <c:pt idx="39">
                  <c:v>26</c:v>
                </c:pt>
                <c:pt idx="40">
                  <c:v>65</c:v>
                </c:pt>
                <c:pt idx="41">
                  <c:v>90</c:v>
                </c:pt>
                <c:pt idx="42">
                  <c:v>214</c:v>
                </c:pt>
                <c:pt idx="43">
                  <c:v>1499</c:v>
                </c:pt>
                <c:pt idx="44">
                  <c:v>14</c:v>
                </c:pt>
                <c:pt idx="45">
                  <c:v>105</c:v>
                </c:pt>
                <c:pt idx="46">
                  <c:v>246</c:v>
                </c:pt>
                <c:pt idx="47">
                  <c:v>225</c:v>
                </c:pt>
                <c:pt idx="48">
                  <c:v>336</c:v>
                </c:pt>
                <c:pt idx="49">
                  <c:v>326</c:v>
                </c:pt>
              </c:numCache>
            </c:numRef>
          </c:yVal>
        </c:ser>
        <c:axId val="36687872"/>
        <c:axId val="36689792"/>
      </c:scatterChart>
      <c:valAx>
        <c:axId val="36687872"/>
        <c:scaling>
          <c:orientation val="minMax"/>
        </c:scaling>
        <c:axPos val="b"/>
        <c:title>
          <c:tx>
            <c:rich>
              <a:bodyPr/>
              <a:lstStyle/>
              <a:p>
                <a:pPr>
                  <a:defRPr/>
                </a:pPr>
                <a:r>
                  <a:rPr lang="en-US"/>
                  <a:t>Regions</a:t>
                </a:r>
              </a:p>
            </c:rich>
          </c:tx>
        </c:title>
        <c:numFmt formatCode="0" sourceLinked="1"/>
        <c:tickLblPos val="nextTo"/>
        <c:crossAx val="36689792"/>
        <c:crosses val="autoZero"/>
        <c:crossBetween val="midCat"/>
      </c:valAx>
      <c:valAx>
        <c:axId val="36689792"/>
        <c:scaling>
          <c:orientation val="minMax"/>
        </c:scaling>
        <c:axPos val="l"/>
        <c:majorGridlines/>
        <c:title>
          <c:tx>
            <c:rich>
              <a:bodyPr rot="0" vert="wordArtVert"/>
              <a:lstStyle/>
              <a:p>
                <a:pPr>
                  <a:defRPr/>
                </a:pPr>
                <a:r>
                  <a:rPr lang="en-US"/>
                  <a:t>Systems</a:t>
                </a:r>
              </a:p>
            </c:rich>
          </c:tx>
        </c:title>
        <c:numFmt formatCode="#,##0" sourceLinked="1"/>
        <c:tickLblPos val="nextTo"/>
        <c:crossAx val="36687872"/>
        <c:crosses val="autoZero"/>
        <c:crossBetween val="midCat"/>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strRef>
              <c:f>'EPA Regions'!$A$16</c:f>
              <c:strCache>
                <c:ptCount val="1"/>
                <c:pt idx="0">
                  <c:v>Total TNCs</c:v>
                </c:pt>
              </c:strCache>
            </c:strRef>
          </c:tx>
          <c:spPr>
            <a:ln w="28575">
              <a:noFill/>
            </a:ln>
          </c:spPr>
          <c:xVal>
            <c:numRef>
              <c:f>'EPA Regions'!$B$15:$AY$15</c:f>
              <c:numCache>
                <c:formatCode>0</c:formatCode>
                <c:ptCount val="50"/>
                <c:pt idx="0">
                  <c:v>1</c:v>
                </c:pt>
                <c:pt idx="1">
                  <c:v>1</c:v>
                </c:pt>
                <c:pt idx="2">
                  <c:v>1</c:v>
                </c:pt>
                <c:pt idx="3">
                  <c:v>1</c:v>
                </c:pt>
                <c:pt idx="4">
                  <c:v>1</c:v>
                </c:pt>
                <c:pt idx="5">
                  <c:v>2</c:v>
                </c:pt>
                <c:pt idx="6">
                  <c:v>2</c:v>
                </c:pt>
                <c:pt idx="7">
                  <c:v>2</c:v>
                </c:pt>
                <c:pt idx="8">
                  <c:v>3</c:v>
                </c:pt>
                <c:pt idx="9">
                  <c:v>3</c:v>
                </c:pt>
                <c:pt idx="10">
                  <c:v>3</c:v>
                </c:pt>
                <c:pt idx="11">
                  <c:v>3</c:v>
                </c:pt>
                <c:pt idx="12">
                  <c:v>3</c:v>
                </c:pt>
                <c:pt idx="13">
                  <c:v>4</c:v>
                </c:pt>
                <c:pt idx="14">
                  <c:v>4</c:v>
                </c:pt>
                <c:pt idx="15">
                  <c:v>4</c:v>
                </c:pt>
                <c:pt idx="16">
                  <c:v>4</c:v>
                </c:pt>
                <c:pt idx="17">
                  <c:v>4</c:v>
                </c:pt>
                <c:pt idx="18">
                  <c:v>4</c:v>
                </c:pt>
                <c:pt idx="19">
                  <c:v>4</c:v>
                </c:pt>
                <c:pt idx="20">
                  <c:v>4</c:v>
                </c:pt>
                <c:pt idx="21">
                  <c:v>5</c:v>
                </c:pt>
                <c:pt idx="22">
                  <c:v>5</c:v>
                </c:pt>
                <c:pt idx="23">
                  <c:v>5</c:v>
                </c:pt>
                <c:pt idx="24">
                  <c:v>5</c:v>
                </c:pt>
                <c:pt idx="25">
                  <c:v>5</c:v>
                </c:pt>
                <c:pt idx="26">
                  <c:v>5</c:v>
                </c:pt>
                <c:pt idx="27">
                  <c:v>6</c:v>
                </c:pt>
                <c:pt idx="28">
                  <c:v>6</c:v>
                </c:pt>
                <c:pt idx="29">
                  <c:v>6</c:v>
                </c:pt>
                <c:pt idx="30">
                  <c:v>6</c:v>
                </c:pt>
                <c:pt idx="31">
                  <c:v>7</c:v>
                </c:pt>
                <c:pt idx="32">
                  <c:v>7</c:v>
                </c:pt>
                <c:pt idx="33">
                  <c:v>7</c:v>
                </c:pt>
                <c:pt idx="34">
                  <c:v>7</c:v>
                </c:pt>
                <c:pt idx="35">
                  <c:v>7</c:v>
                </c:pt>
                <c:pt idx="36">
                  <c:v>8</c:v>
                </c:pt>
                <c:pt idx="37">
                  <c:v>8</c:v>
                </c:pt>
                <c:pt idx="38">
                  <c:v>8</c:v>
                </c:pt>
                <c:pt idx="39">
                  <c:v>8</c:v>
                </c:pt>
                <c:pt idx="40">
                  <c:v>8</c:v>
                </c:pt>
                <c:pt idx="41">
                  <c:v>8</c:v>
                </c:pt>
                <c:pt idx="42">
                  <c:v>9</c:v>
                </c:pt>
                <c:pt idx="43">
                  <c:v>9</c:v>
                </c:pt>
                <c:pt idx="44">
                  <c:v>9</c:v>
                </c:pt>
                <c:pt idx="45">
                  <c:v>9</c:v>
                </c:pt>
                <c:pt idx="46">
                  <c:v>10</c:v>
                </c:pt>
                <c:pt idx="47">
                  <c:v>10</c:v>
                </c:pt>
                <c:pt idx="48">
                  <c:v>10</c:v>
                </c:pt>
                <c:pt idx="49">
                  <c:v>10</c:v>
                </c:pt>
              </c:numCache>
            </c:numRef>
          </c:xVal>
          <c:yVal>
            <c:numRef>
              <c:f>'EPA Regions'!$B$16:$AY$16</c:f>
              <c:numCache>
                <c:formatCode>#,##0</c:formatCode>
                <c:ptCount val="50"/>
                <c:pt idx="0">
                  <c:v>1455</c:v>
                </c:pt>
                <c:pt idx="1">
                  <c:v>1150</c:v>
                </c:pt>
                <c:pt idx="2">
                  <c:v>939</c:v>
                </c:pt>
                <c:pt idx="3">
                  <c:v>318</c:v>
                </c:pt>
                <c:pt idx="4">
                  <c:v>678</c:v>
                </c:pt>
                <c:pt idx="5">
                  <c:v>1280</c:v>
                </c:pt>
                <c:pt idx="6">
                  <c:v>2507</c:v>
                </c:pt>
                <c:pt idx="7">
                  <c:v>5812</c:v>
                </c:pt>
                <c:pt idx="8">
                  <c:v>187</c:v>
                </c:pt>
                <c:pt idx="9">
                  <c:v>2448</c:v>
                </c:pt>
                <c:pt idx="10">
                  <c:v>6010</c:v>
                </c:pt>
                <c:pt idx="11">
                  <c:v>1084</c:v>
                </c:pt>
                <c:pt idx="12">
                  <c:v>434</c:v>
                </c:pt>
                <c:pt idx="13">
                  <c:v>59</c:v>
                </c:pt>
                <c:pt idx="14">
                  <c:v>2962</c:v>
                </c:pt>
                <c:pt idx="15">
                  <c:v>468</c:v>
                </c:pt>
                <c:pt idx="16">
                  <c:v>42</c:v>
                </c:pt>
                <c:pt idx="17">
                  <c:v>73</c:v>
                </c:pt>
                <c:pt idx="18">
                  <c:v>3639</c:v>
                </c:pt>
                <c:pt idx="19">
                  <c:v>729</c:v>
                </c:pt>
                <c:pt idx="20">
                  <c:v>337</c:v>
                </c:pt>
                <c:pt idx="21">
                  <c:v>3506</c:v>
                </c:pt>
                <c:pt idx="22">
                  <c:v>2833</c:v>
                </c:pt>
                <c:pt idx="23">
                  <c:v>8543</c:v>
                </c:pt>
                <c:pt idx="24">
                  <c:v>5693</c:v>
                </c:pt>
                <c:pt idx="25">
                  <c:v>2930</c:v>
                </c:pt>
                <c:pt idx="26">
                  <c:v>9492</c:v>
                </c:pt>
                <c:pt idx="27">
                  <c:v>356</c:v>
                </c:pt>
                <c:pt idx="28">
                  <c:v>215</c:v>
                </c:pt>
                <c:pt idx="29">
                  <c:v>397</c:v>
                </c:pt>
                <c:pt idx="30">
                  <c:v>1279</c:v>
                </c:pt>
                <c:pt idx="31">
                  <c:v>653</c:v>
                </c:pt>
                <c:pt idx="32">
                  <c:v>91</c:v>
                </c:pt>
                <c:pt idx="33">
                  <c:v>1081</c:v>
                </c:pt>
                <c:pt idx="34">
                  <c:v>571</c:v>
                </c:pt>
                <c:pt idx="35">
                  <c:v>446</c:v>
                </c:pt>
                <c:pt idx="36">
                  <c:v>999</c:v>
                </c:pt>
                <c:pt idx="37">
                  <c:v>1143</c:v>
                </c:pt>
                <c:pt idx="38">
                  <c:v>154</c:v>
                </c:pt>
                <c:pt idx="39">
                  <c:v>170</c:v>
                </c:pt>
                <c:pt idx="40">
                  <c:v>488</c:v>
                </c:pt>
                <c:pt idx="41">
                  <c:v>387</c:v>
                </c:pt>
                <c:pt idx="42">
                  <c:v>577</c:v>
                </c:pt>
                <c:pt idx="43">
                  <c:v>3138</c:v>
                </c:pt>
                <c:pt idx="44">
                  <c:v>2</c:v>
                </c:pt>
                <c:pt idx="45">
                  <c:v>237</c:v>
                </c:pt>
                <c:pt idx="46">
                  <c:v>884</c:v>
                </c:pt>
                <c:pt idx="47">
                  <c:v>987</c:v>
                </c:pt>
                <c:pt idx="48">
                  <c:v>1416</c:v>
                </c:pt>
                <c:pt idx="49">
                  <c:v>1540</c:v>
                </c:pt>
              </c:numCache>
            </c:numRef>
          </c:yVal>
        </c:ser>
        <c:axId val="36755328"/>
        <c:axId val="36773888"/>
      </c:scatterChart>
      <c:valAx>
        <c:axId val="36755328"/>
        <c:scaling>
          <c:orientation val="minMax"/>
        </c:scaling>
        <c:axPos val="b"/>
        <c:title>
          <c:tx>
            <c:rich>
              <a:bodyPr/>
              <a:lstStyle/>
              <a:p>
                <a:pPr>
                  <a:defRPr/>
                </a:pPr>
                <a:r>
                  <a:rPr lang="en-US"/>
                  <a:t>Regions</a:t>
                </a:r>
              </a:p>
            </c:rich>
          </c:tx>
        </c:title>
        <c:numFmt formatCode="0" sourceLinked="1"/>
        <c:tickLblPos val="nextTo"/>
        <c:crossAx val="36773888"/>
        <c:crosses val="autoZero"/>
        <c:crossBetween val="midCat"/>
      </c:valAx>
      <c:valAx>
        <c:axId val="36773888"/>
        <c:scaling>
          <c:orientation val="minMax"/>
        </c:scaling>
        <c:axPos val="l"/>
        <c:majorGridlines/>
        <c:title>
          <c:tx>
            <c:rich>
              <a:bodyPr rot="0" vert="wordArtVert"/>
              <a:lstStyle/>
              <a:p>
                <a:pPr>
                  <a:defRPr/>
                </a:pPr>
                <a:r>
                  <a:rPr lang="en-US"/>
                  <a:t>Systems</a:t>
                </a:r>
              </a:p>
            </c:rich>
          </c:tx>
        </c:title>
        <c:numFmt formatCode="#,##0" sourceLinked="1"/>
        <c:tickLblPos val="nextTo"/>
        <c:crossAx val="36755328"/>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Ratio Population Served by CWS Serving Under 10,000 Population to Total Served by CWS (sums)_</a:t>
            </a:r>
          </a:p>
        </c:rich>
      </c:tx>
    </c:title>
    <c:plotArea>
      <c:layout>
        <c:manualLayout>
          <c:layoutTarget val="inner"/>
          <c:xMode val="edge"/>
          <c:yMode val="edge"/>
          <c:x val="0.1500301837270353"/>
          <c:y val="0.32579870224555407"/>
          <c:w val="0.50199212598424836"/>
          <c:h val="0.51919728783902008"/>
        </c:manualLayout>
      </c:layout>
      <c:scatterChart>
        <c:scatterStyle val="lineMarker"/>
        <c:ser>
          <c:idx val="0"/>
          <c:order val="0"/>
          <c:tx>
            <c:strRef>
              <c:f>'Summary Data'!$A$14</c:f>
              <c:strCache>
                <c:ptCount val="1"/>
                <c:pt idx="0">
                  <c:v>ratio pop under 10000 to total (sums)_</c:v>
                </c:pt>
              </c:strCache>
            </c:strRef>
          </c:tx>
          <c:spPr>
            <a:ln w="28575">
              <a:noFill/>
            </a:ln>
          </c:spPr>
          <c:yVal>
            <c:numRef>
              <c:f>'Summary Data'!$B$14:$AY$14</c:f>
              <c:numCache>
                <c:formatCode>#,##0.00</c:formatCode>
                <c:ptCount val="50"/>
                <c:pt idx="0">
                  <c:v>0.25300632345595092</c:v>
                </c:pt>
                <c:pt idx="1">
                  <c:v>0.41165031379828532</c:v>
                </c:pt>
                <c:pt idx="2">
                  <c:v>0.12306455460268363</c:v>
                </c:pt>
                <c:pt idx="3">
                  <c:v>0.43285082078082504</c:v>
                </c:pt>
                <c:pt idx="4">
                  <c:v>5.9371355948914233E-2</c:v>
                </c:pt>
                <c:pt idx="5">
                  <c:v>0.15911029115802458</c:v>
                </c:pt>
                <c:pt idx="6">
                  <c:v>0.11255548068984488</c:v>
                </c:pt>
                <c:pt idx="7">
                  <c:v>0.18652806430365018</c:v>
                </c:pt>
                <c:pt idx="8">
                  <c:v>8.4239145050694728E-2</c:v>
                </c:pt>
                <c:pt idx="9">
                  <c:v>0.15207338108428894</c:v>
                </c:pt>
                <c:pt idx="10">
                  <c:v>0.10507400521662104</c:v>
                </c:pt>
                <c:pt idx="11">
                  <c:v>0.34096560703443496</c:v>
                </c:pt>
                <c:pt idx="12">
                  <c:v>0.19460102014565417</c:v>
                </c:pt>
                <c:pt idx="13">
                  <c:v>0.25282082863682931</c:v>
                </c:pt>
                <c:pt idx="14">
                  <c:v>0.40919174323212221</c:v>
                </c:pt>
                <c:pt idx="15">
                  <c:v>0.31463307710990457</c:v>
                </c:pt>
                <c:pt idx="16">
                  <c:v>0.22156867424955312</c:v>
                </c:pt>
                <c:pt idx="17">
                  <c:v>0.32555016446649682</c:v>
                </c:pt>
                <c:pt idx="18">
                  <c:v>0.42623667414231581</c:v>
                </c:pt>
                <c:pt idx="19">
                  <c:v>7.5825127031056191E-2</c:v>
                </c:pt>
                <c:pt idx="20">
                  <c:v>6.891007341459969E-2</c:v>
                </c:pt>
                <c:pt idx="21">
                  <c:v>0.21034648370857839</c:v>
                </c:pt>
                <c:pt idx="22">
                  <c:v>0.2334785776412249</c:v>
                </c:pt>
                <c:pt idx="23">
                  <c:v>0.57930302975185577</c:v>
                </c:pt>
                <c:pt idx="24">
                  <c:v>0.29564591583858435</c:v>
                </c:pt>
                <c:pt idx="25">
                  <c:v>0.49859598282606232</c:v>
                </c:pt>
                <c:pt idx="26">
                  <c:v>0.30472933210185282</c:v>
                </c:pt>
                <c:pt idx="27">
                  <c:v>0.14437824335143812</c:v>
                </c:pt>
                <c:pt idx="28">
                  <c:v>0.36782979997100701</c:v>
                </c:pt>
                <c:pt idx="29">
                  <c:v>8.7033510503810599E-2</c:v>
                </c:pt>
                <c:pt idx="30">
                  <c:v>0.26439348508931698</c:v>
                </c:pt>
                <c:pt idx="31">
                  <c:v>0.11949794800122319</c:v>
                </c:pt>
                <c:pt idx="32">
                  <c:v>0.20048515079253118</c:v>
                </c:pt>
                <c:pt idx="33">
                  <c:v>0.43782425777823336</c:v>
                </c:pt>
                <c:pt idx="34">
                  <c:v>0.15296688482488174</c:v>
                </c:pt>
                <c:pt idx="35">
                  <c:v>0.33900505542309667</c:v>
                </c:pt>
                <c:pt idx="36">
                  <c:v>0.20159131545101941</c:v>
                </c:pt>
                <c:pt idx="37">
                  <c:v>0.18818953149307921</c:v>
                </c:pt>
                <c:pt idx="38">
                  <c:v>9.8867966260167542E-2</c:v>
                </c:pt>
                <c:pt idx="39">
                  <c:v>0.19862458009153497</c:v>
                </c:pt>
                <c:pt idx="40">
                  <c:v>0.47204579753361331</c:v>
                </c:pt>
                <c:pt idx="41">
                  <c:v>0.18577831540507431</c:v>
                </c:pt>
                <c:pt idx="42">
                  <c:v>0.25247410352844463</c:v>
                </c:pt>
                <c:pt idx="43">
                  <c:v>0.1767575249668531</c:v>
                </c:pt>
                <c:pt idx="44">
                  <c:v>0.71444919150338693</c:v>
                </c:pt>
                <c:pt idx="45">
                  <c:v>0.14282854854007093</c:v>
                </c:pt>
                <c:pt idx="46">
                  <c:v>0.19827939292493851</c:v>
                </c:pt>
                <c:pt idx="47">
                  <c:v>0.48020617228100182</c:v>
                </c:pt>
                <c:pt idx="48">
                  <c:v>0.28188581471634888</c:v>
                </c:pt>
                <c:pt idx="49">
                  <c:v>0.49060156644264763</c:v>
                </c:pt>
              </c:numCache>
            </c:numRef>
          </c:yVal>
        </c:ser>
        <c:axId val="35390592"/>
        <c:axId val="35392128"/>
      </c:scatterChart>
      <c:valAx>
        <c:axId val="35390592"/>
        <c:scaling>
          <c:orientation val="minMax"/>
        </c:scaling>
        <c:axPos val="b"/>
        <c:tickLblPos val="nextTo"/>
        <c:crossAx val="35392128"/>
        <c:crosses val="autoZero"/>
        <c:crossBetween val="midCat"/>
      </c:valAx>
      <c:valAx>
        <c:axId val="35392128"/>
        <c:scaling>
          <c:orientation val="minMax"/>
        </c:scaling>
        <c:axPos val="l"/>
        <c:majorGridlines/>
        <c:numFmt formatCode="#,##0.00" sourceLinked="1"/>
        <c:tickLblPos val="nextTo"/>
        <c:crossAx val="35390592"/>
        <c:crosses val="autoZero"/>
        <c:crossBetween val="midCat"/>
      </c:valAx>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Ratio Population Served</a:t>
            </a:r>
            <a:r>
              <a:rPr lang="en-US" sz="1400" baseline="0"/>
              <a:t> by</a:t>
            </a:r>
            <a:r>
              <a:rPr lang="en-US" sz="1400"/>
              <a:t> CWS Serving Under 10,000 Population to 2010 Census Population(sums)</a:t>
            </a:r>
          </a:p>
        </c:rich>
      </c:tx>
    </c:title>
    <c:plotArea>
      <c:layout/>
      <c:scatterChart>
        <c:scatterStyle val="lineMarker"/>
        <c:ser>
          <c:idx val="0"/>
          <c:order val="0"/>
          <c:tx>
            <c:strRef>
              <c:f>'Summary Data'!$A$5</c:f>
              <c:strCache>
                <c:ptCount val="1"/>
                <c:pt idx="0">
                  <c:v>Ratio CWS under 10,000 population served to 2010 Census Population(sums)</c:v>
                </c:pt>
              </c:strCache>
            </c:strRef>
          </c:tx>
          <c:spPr>
            <a:ln w="28575">
              <a:noFill/>
            </a:ln>
          </c:spPr>
          <c:yVal>
            <c:numRef>
              <c:f>'Summary Data'!$B$5:$AY$5</c:f>
              <c:numCache>
                <c:formatCode>#,##0.00</c:formatCode>
                <c:ptCount val="50"/>
                <c:pt idx="0">
                  <c:v>0.29168066838476947</c:v>
                </c:pt>
                <c:pt idx="1">
                  <c:v>0.33562894044957903</c:v>
                </c:pt>
                <c:pt idx="2">
                  <c:v>0.11882763890404978</c:v>
                </c:pt>
                <c:pt idx="3">
                  <c:v>0.39872750902270743</c:v>
                </c:pt>
                <c:pt idx="4">
                  <c:v>6.4327076953507353E-2</c:v>
                </c:pt>
                <c:pt idx="5">
                  <c:v>0.1689337612216622</c:v>
                </c:pt>
                <c:pt idx="6">
                  <c:v>8.362593770207391E-2</c:v>
                </c:pt>
                <c:pt idx="7">
                  <c:v>0.18577563862769358</c:v>
                </c:pt>
                <c:pt idx="8">
                  <c:v>8.5348890227928687E-2</c:v>
                </c:pt>
                <c:pt idx="9">
                  <c:v>0.13132750782672664</c:v>
                </c:pt>
                <c:pt idx="10">
                  <c:v>0.11184669703305818</c:v>
                </c:pt>
                <c:pt idx="11">
                  <c:v>0.23832871835317337</c:v>
                </c:pt>
                <c:pt idx="12">
                  <c:v>0.18310692003812076</c:v>
                </c:pt>
                <c:pt idx="13">
                  <c:v>0.18936560363308497</c:v>
                </c:pt>
                <c:pt idx="14">
                  <c:v>0.35837044299422605</c:v>
                </c:pt>
                <c:pt idx="15">
                  <c:v>0.28995957487447954</c:v>
                </c:pt>
                <c:pt idx="16">
                  <c:v>0.22618389254278598</c:v>
                </c:pt>
                <c:pt idx="17">
                  <c:v>0.35170627247219016</c:v>
                </c:pt>
                <c:pt idx="18">
                  <c:v>0.21285615052127763</c:v>
                </c:pt>
                <c:pt idx="19">
                  <c:v>6.7492537473257494E-2</c:v>
                </c:pt>
                <c:pt idx="20">
                  <c:v>9.7977573173178303E-2</c:v>
                </c:pt>
                <c:pt idx="21">
                  <c:v>0.16163806019315088</c:v>
                </c:pt>
                <c:pt idx="22">
                  <c:v>0.18667254701377017</c:v>
                </c:pt>
                <c:pt idx="23">
                  <c:v>0.60956538089609957</c:v>
                </c:pt>
                <c:pt idx="24">
                  <c:v>0.25564644834431727</c:v>
                </c:pt>
                <c:pt idx="25">
                  <c:v>0.35711513089089481</c:v>
                </c:pt>
                <c:pt idx="26">
                  <c:v>0.24621238382487581</c:v>
                </c:pt>
                <c:pt idx="27">
                  <c:v>0.13530880273060922</c:v>
                </c:pt>
                <c:pt idx="28">
                  <c:v>0.23806968886332902</c:v>
                </c:pt>
                <c:pt idx="29">
                  <c:v>8.8915232595489654E-2</c:v>
                </c:pt>
                <c:pt idx="30">
                  <c:v>0.22947960912758014</c:v>
                </c:pt>
                <c:pt idx="31">
                  <c:v>0.11025199197468978</c:v>
                </c:pt>
                <c:pt idx="32">
                  <c:v>0.15806926794581644</c:v>
                </c:pt>
                <c:pt idx="33">
                  <c:v>0.36844526967547447</c:v>
                </c:pt>
                <c:pt idx="34">
                  <c:v>0.1397116046642195</c:v>
                </c:pt>
                <c:pt idx="35">
                  <c:v>0.31855633191159782</c:v>
                </c:pt>
                <c:pt idx="36">
                  <c:v>0.16971027951419398</c:v>
                </c:pt>
                <c:pt idx="37">
                  <c:v>0.15922011196785529</c:v>
                </c:pt>
                <c:pt idx="38">
                  <c:v>9.3192399504571602E-2</c:v>
                </c:pt>
                <c:pt idx="39">
                  <c:v>0.16419825763160589</c:v>
                </c:pt>
                <c:pt idx="40">
                  <c:v>0.41170536290455562</c:v>
                </c:pt>
                <c:pt idx="41">
                  <c:v>0.18134319075839886</c:v>
                </c:pt>
                <c:pt idx="42">
                  <c:v>0.25116792036604746</c:v>
                </c:pt>
                <c:pt idx="43">
                  <c:v>0.17268263457925881</c:v>
                </c:pt>
                <c:pt idx="44">
                  <c:v>0.50910386031598953</c:v>
                </c:pt>
                <c:pt idx="45">
                  <c:v>0.11674257527244022</c:v>
                </c:pt>
                <c:pt idx="46">
                  <c:v>0.18838419757605532</c:v>
                </c:pt>
                <c:pt idx="47">
                  <c:v>0.38868113226315532</c:v>
                </c:pt>
                <c:pt idx="48">
                  <c:v>0.19764681313320101</c:v>
                </c:pt>
                <c:pt idx="49">
                  <c:v>0.38831075136371979</c:v>
                </c:pt>
              </c:numCache>
            </c:numRef>
          </c:yVal>
        </c:ser>
        <c:axId val="35412224"/>
        <c:axId val="35778560"/>
      </c:scatterChart>
      <c:valAx>
        <c:axId val="35412224"/>
        <c:scaling>
          <c:orientation val="minMax"/>
        </c:scaling>
        <c:axPos val="b"/>
        <c:tickLblPos val="nextTo"/>
        <c:crossAx val="35778560"/>
        <c:crosses val="autoZero"/>
        <c:crossBetween val="midCat"/>
      </c:valAx>
      <c:valAx>
        <c:axId val="35778560"/>
        <c:scaling>
          <c:orientation val="minMax"/>
        </c:scaling>
        <c:axPos val="l"/>
        <c:majorGridlines/>
        <c:numFmt formatCode="#,##0.00" sourceLinked="1"/>
        <c:tickLblPos val="nextTo"/>
        <c:crossAx val="35412224"/>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Average Meters Per CWS Serving </a:t>
            </a:r>
          </a:p>
          <a:p>
            <a:pPr>
              <a:defRPr/>
            </a:pPr>
            <a:r>
              <a:rPr lang="en-US"/>
              <a:t>Less Than 10,000 People</a:t>
            </a:r>
          </a:p>
        </c:rich>
      </c:tx>
    </c:title>
    <c:plotArea>
      <c:layout/>
      <c:scatterChart>
        <c:scatterStyle val="lineMarker"/>
        <c:ser>
          <c:idx val="0"/>
          <c:order val="0"/>
          <c:tx>
            <c:strRef>
              <c:f>'Summary Data'!$A$18</c:f>
              <c:strCache>
                <c:ptCount val="1"/>
                <c:pt idx="0">
                  <c:v>average meters per CWS under 10,000</c:v>
                </c:pt>
              </c:strCache>
            </c:strRef>
          </c:tx>
          <c:spPr>
            <a:ln w="28575">
              <a:noFill/>
            </a:ln>
          </c:spPr>
          <c:yVal>
            <c:numRef>
              <c:f>'Summary Data'!$B$18:$AY$18</c:f>
              <c:numCache>
                <c:formatCode>#,##0</c:formatCode>
                <c:ptCount val="50"/>
                <c:pt idx="0">
                  <c:v>1147.7139479905438</c:v>
                </c:pt>
                <c:pt idx="1">
                  <c:v>120.80324074074076</c:v>
                </c:pt>
                <c:pt idx="2">
                  <c:v>377.75492957746479</c:v>
                </c:pt>
                <c:pt idx="3">
                  <c:v>720.31212121212116</c:v>
                </c:pt>
                <c:pt idx="4">
                  <c:v>321.07442748091631</c:v>
                </c:pt>
                <c:pt idx="5">
                  <c:v>447.71139240506329</c:v>
                </c:pt>
                <c:pt idx="6">
                  <c:v>177.37231968810991</c:v>
                </c:pt>
                <c:pt idx="7">
                  <c:v>268.72222222222223</c:v>
                </c:pt>
                <c:pt idx="8">
                  <c:v>393.36733333333478</c:v>
                </c:pt>
                <c:pt idx="9">
                  <c:v>284.71839424805023</c:v>
                </c:pt>
                <c:pt idx="10">
                  <c:v>428.02222222222224</c:v>
                </c:pt>
                <c:pt idx="11">
                  <c:v>205.84362139917596</c:v>
                </c:pt>
                <c:pt idx="12">
                  <c:v>587.90688524590166</c:v>
                </c:pt>
                <c:pt idx="13">
                  <c:v>650.60082304526759</c:v>
                </c:pt>
                <c:pt idx="14">
                  <c:v>430.1883656509695</c:v>
                </c:pt>
                <c:pt idx="15">
                  <c:v>462.80957943925233</c:v>
                </c:pt>
                <c:pt idx="16">
                  <c:v>1121.4197952218431</c:v>
                </c:pt>
                <c:pt idx="17">
                  <c:v>527.51068158697842</c:v>
                </c:pt>
                <c:pt idx="18">
                  <c:v>304.63287671232877</c:v>
                </c:pt>
                <c:pt idx="19">
                  <c:v>305.47963800904967</c:v>
                </c:pt>
                <c:pt idx="20">
                  <c:v>625.47021943573304</c:v>
                </c:pt>
                <c:pt idx="21">
                  <c:v>476.56780333068991</c:v>
                </c:pt>
                <c:pt idx="22">
                  <c:v>731.24124513618801</c:v>
                </c:pt>
                <c:pt idx="23">
                  <c:v>611.95648060548717</c:v>
                </c:pt>
                <c:pt idx="24">
                  <c:v>501.33948863636618</c:v>
                </c:pt>
                <c:pt idx="25">
                  <c:v>197.93411420204978</c:v>
                </c:pt>
                <c:pt idx="26">
                  <c:v>352.4480968858133</c:v>
                </c:pt>
                <c:pt idx="27">
                  <c:v>657.50970873786787</c:v>
                </c:pt>
                <c:pt idx="28">
                  <c:v>166.22318840579709</c:v>
                </c:pt>
                <c:pt idx="29">
                  <c:v>562.85714285714289</c:v>
                </c:pt>
                <c:pt idx="30">
                  <c:v>291.64855687606132</c:v>
                </c:pt>
                <c:pt idx="31">
                  <c:v>285.47444952222685</c:v>
                </c:pt>
                <c:pt idx="32">
                  <c:v>322.77777777777669</c:v>
                </c:pt>
                <c:pt idx="33">
                  <c:v>314.07975460122697</c:v>
                </c:pt>
                <c:pt idx="34">
                  <c:v>576.81249999999739</c:v>
                </c:pt>
                <c:pt idx="35">
                  <c:v>485.82194417709326</c:v>
                </c:pt>
                <c:pt idx="36">
                  <c:v>325.66503667481732</c:v>
                </c:pt>
                <c:pt idx="37">
                  <c:v>373.60426417056948</c:v>
                </c:pt>
                <c:pt idx="38">
                  <c:v>386.42465753424671</c:v>
                </c:pt>
                <c:pt idx="39">
                  <c:v>611.21052631578948</c:v>
                </c:pt>
                <c:pt idx="40">
                  <c:v>324.81489841986655</c:v>
                </c:pt>
                <c:pt idx="41">
                  <c:v>1274.8083333333298</c:v>
                </c:pt>
                <c:pt idx="42">
                  <c:v>1063.8501923512106</c:v>
                </c:pt>
                <c:pt idx="43">
                  <c:v>452.71186440677963</c:v>
                </c:pt>
                <c:pt idx="44">
                  <c:v>283.38990825688069</c:v>
                </c:pt>
                <c:pt idx="45">
                  <c:v>301.95294117647057</c:v>
                </c:pt>
                <c:pt idx="46">
                  <c:v>227.89948574100038</c:v>
                </c:pt>
                <c:pt idx="47">
                  <c:v>648.90170940170799</c:v>
                </c:pt>
                <c:pt idx="48">
                  <c:v>425.37134207870827</c:v>
                </c:pt>
                <c:pt idx="49">
                  <c:v>284.10526315789474</c:v>
                </c:pt>
              </c:numCache>
            </c:numRef>
          </c:yVal>
        </c:ser>
        <c:axId val="94182784"/>
        <c:axId val="35599872"/>
      </c:scatterChart>
      <c:valAx>
        <c:axId val="94182784"/>
        <c:scaling>
          <c:orientation val="minMax"/>
        </c:scaling>
        <c:axPos val="b"/>
        <c:title>
          <c:tx>
            <c:rich>
              <a:bodyPr/>
              <a:lstStyle/>
              <a:p>
                <a:pPr>
                  <a:defRPr/>
                </a:pPr>
                <a:r>
                  <a:rPr lang="en-US"/>
                  <a:t>States</a:t>
                </a:r>
              </a:p>
            </c:rich>
          </c:tx>
        </c:title>
        <c:tickLblPos val="nextTo"/>
        <c:crossAx val="35599872"/>
        <c:crosses val="autoZero"/>
        <c:crossBetween val="midCat"/>
      </c:valAx>
      <c:valAx>
        <c:axId val="35599872"/>
        <c:scaling>
          <c:orientation val="minMax"/>
        </c:scaling>
        <c:axPos val="l"/>
        <c:majorGridlines/>
        <c:title>
          <c:tx>
            <c:rich>
              <a:bodyPr/>
              <a:lstStyle/>
              <a:p>
                <a:pPr>
                  <a:defRPr/>
                </a:pPr>
                <a:r>
                  <a:rPr lang="en-US"/>
                  <a:t>Meters</a:t>
                </a:r>
              </a:p>
            </c:rich>
          </c:tx>
        </c:title>
        <c:numFmt formatCode="#,##0" sourceLinked="1"/>
        <c:tickLblPos val="nextTo"/>
        <c:crossAx val="94182784"/>
        <c:crosses val="autoZero"/>
        <c:crossBetween val="midCat"/>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Total CWS Serving</a:t>
            </a:r>
            <a:r>
              <a:rPr lang="en-US" baseline="0"/>
              <a:t> Less than </a:t>
            </a:r>
            <a:r>
              <a:rPr lang="en-US"/>
              <a:t>10,000 People</a:t>
            </a:r>
          </a:p>
        </c:rich>
      </c:tx>
    </c:title>
    <c:plotArea>
      <c:layout/>
      <c:scatterChart>
        <c:scatterStyle val="lineMarker"/>
        <c:ser>
          <c:idx val="0"/>
          <c:order val="0"/>
          <c:tx>
            <c:strRef>
              <c:f>'Summary Data'!$A$17</c:f>
              <c:strCache>
                <c:ptCount val="1"/>
                <c:pt idx="0">
                  <c:v>total CWS under 10,000</c:v>
                </c:pt>
              </c:strCache>
            </c:strRef>
          </c:tx>
          <c:spPr>
            <a:ln w="28575">
              <a:noFill/>
            </a:ln>
          </c:spPr>
          <c:yVal>
            <c:numRef>
              <c:f>'Summary Data'!$B$17:$AY$17</c:f>
              <c:numCache>
                <c:formatCode>#,##0</c:formatCode>
                <c:ptCount val="50"/>
                <c:pt idx="0">
                  <c:v>423</c:v>
                </c:pt>
                <c:pt idx="1">
                  <c:v>432</c:v>
                </c:pt>
                <c:pt idx="2">
                  <c:v>710</c:v>
                </c:pt>
                <c:pt idx="3">
                  <c:v>660</c:v>
                </c:pt>
                <c:pt idx="4">
                  <c:v>2620</c:v>
                </c:pt>
                <c:pt idx="5">
                  <c:v>790</c:v>
                </c:pt>
                <c:pt idx="6">
                  <c:v>513</c:v>
                </c:pt>
                <c:pt idx="7">
                  <c:v>198</c:v>
                </c:pt>
                <c:pt idx="8">
                  <c:v>1500</c:v>
                </c:pt>
                <c:pt idx="9">
                  <c:v>1669</c:v>
                </c:pt>
                <c:pt idx="10">
                  <c:v>90</c:v>
                </c:pt>
                <c:pt idx="11">
                  <c:v>729</c:v>
                </c:pt>
                <c:pt idx="12">
                  <c:v>1525</c:v>
                </c:pt>
                <c:pt idx="13">
                  <c:v>729</c:v>
                </c:pt>
                <c:pt idx="14">
                  <c:v>1083</c:v>
                </c:pt>
                <c:pt idx="15">
                  <c:v>856</c:v>
                </c:pt>
                <c:pt idx="16">
                  <c:v>293</c:v>
                </c:pt>
                <c:pt idx="17">
                  <c:v>983</c:v>
                </c:pt>
                <c:pt idx="18">
                  <c:v>365</c:v>
                </c:pt>
                <c:pt idx="19">
                  <c:v>442</c:v>
                </c:pt>
                <c:pt idx="20">
                  <c:v>319</c:v>
                </c:pt>
                <c:pt idx="21">
                  <c:v>1261</c:v>
                </c:pt>
                <c:pt idx="22">
                  <c:v>874</c:v>
                </c:pt>
                <c:pt idx="23">
                  <c:v>1057</c:v>
                </c:pt>
                <c:pt idx="24">
                  <c:v>1408</c:v>
                </c:pt>
                <c:pt idx="25">
                  <c:v>683</c:v>
                </c:pt>
                <c:pt idx="26">
                  <c:v>578</c:v>
                </c:pt>
                <c:pt idx="27">
                  <c:v>206</c:v>
                </c:pt>
                <c:pt idx="28">
                  <c:v>690</c:v>
                </c:pt>
                <c:pt idx="29">
                  <c:v>455</c:v>
                </c:pt>
                <c:pt idx="30">
                  <c:v>589</c:v>
                </c:pt>
                <c:pt idx="31">
                  <c:v>2407</c:v>
                </c:pt>
                <c:pt idx="32">
                  <c:v>1980</c:v>
                </c:pt>
                <c:pt idx="33">
                  <c:v>326</c:v>
                </c:pt>
                <c:pt idx="34">
                  <c:v>1088</c:v>
                </c:pt>
                <c:pt idx="35">
                  <c:v>1039</c:v>
                </c:pt>
                <c:pt idx="36">
                  <c:v>818</c:v>
                </c:pt>
                <c:pt idx="37">
                  <c:v>1923</c:v>
                </c:pt>
                <c:pt idx="38">
                  <c:v>73</c:v>
                </c:pt>
                <c:pt idx="39">
                  <c:v>532</c:v>
                </c:pt>
                <c:pt idx="40">
                  <c:v>443</c:v>
                </c:pt>
                <c:pt idx="41">
                  <c:v>360</c:v>
                </c:pt>
                <c:pt idx="42">
                  <c:v>4419</c:v>
                </c:pt>
                <c:pt idx="43">
                  <c:v>354</c:v>
                </c:pt>
                <c:pt idx="44">
                  <c:v>436</c:v>
                </c:pt>
                <c:pt idx="45">
                  <c:v>1105</c:v>
                </c:pt>
                <c:pt idx="46">
                  <c:v>2139</c:v>
                </c:pt>
                <c:pt idx="47">
                  <c:v>468</c:v>
                </c:pt>
                <c:pt idx="48">
                  <c:v>991</c:v>
                </c:pt>
                <c:pt idx="49">
                  <c:v>304</c:v>
                </c:pt>
              </c:numCache>
            </c:numRef>
          </c:yVal>
        </c:ser>
        <c:axId val="35632640"/>
        <c:axId val="35634560"/>
      </c:scatterChart>
      <c:valAx>
        <c:axId val="35632640"/>
        <c:scaling>
          <c:orientation val="minMax"/>
        </c:scaling>
        <c:axPos val="b"/>
        <c:title>
          <c:tx>
            <c:rich>
              <a:bodyPr/>
              <a:lstStyle/>
              <a:p>
                <a:pPr>
                  <a:defRPr/>
                </a:pPr>
                <a:r>
                  <a:rPr lang="en-US"/>
                  <a:t>States</a:t>
                </a:r>
              </a:p>
            </c:rich>
          </c:tx>
        </c:title>
        <c:tickLblPos val="nextTo"/>
        <c:crossAx val="35634560"/>
        <c:crosses val="autoZero"/>
        <c:crossBetween val="midCat"/>
      </c:valAx>
      <c:valAx>
        <c:axId val="35634560"/>
        <c:scaling>
          <c:orientation val="minMax"/>
        </c:scaling>
        <c:axPos val="l"/>
        <c:majorGridlines/>
        <c:title>
          <c:tx>
            <c:rich>
              <a:bodyPr rot="-5400000" vert="horz"/>
              <a:lstStyle/>
              <a:p>
                <a:pPr>
                  <a:defRPr/>
                </a:pPr>
                <a:r>
                  <a:rPr lang="en-US"/>
                  <a:t>Systems</a:t>
                </a:r>
              </a:p>
            </c:rich>
          </c:tx>
        </c:title>
        <c:numFmt formatCode="#,##0" sourceLinked="1"/>
        <c:tickLblPos val="nextTo"/>
        <c:crossAx val="35632640"/>
        <c:crosses val="autoZero"/>
        <c:crossBetween val="midCat"/>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t>Ratio CWS Population Served to 2010 Census Population (sums)</a:t>
            </a:r>
            <a:endParaRPr lang="en-US" sz="14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manualLayout>
          <c:xMode val="edge"/>
          <c:yMode val="edge"/>
          <c:x val="0.12155781807336383"/>
          <c:y val="3.2907195231652406E-2"/>
        </c:manualLayout>
      </c:layout>
    </c:title>
    <c:plotArea>
      <c:layout/>
      <c:scatterChart>
        <c:scatterStyle val="lineMarker"/>
        <c:ser>
          <c:idx val="0"/>
          <c:order val="0"/>
          <c:tx>
            <c:strRef>
              <c:f>'By EPA Region'!$A$4</c:f>
              <c:strCache>
                <c:ptCount val="1"/>
                <c:pt idx="0">
                  <c:v>Ratio CWS population served to 2010 Census Population (sums)</c:v>
                </c:pt>
              </c:strCache>
            </c:strRef>
          </c:tx>
          <c:spPr>
            <a:ln w="28575">
              <a:noFill/>
            </a:ln>
          </c:spPr>
          <c:xVal>
            <c:numRef>
              <c:f>'By EPA Region'!$B$3:$AY$3</c:f>
              <c:numCache>
                <c:formatCode>0</c:formatCode>
                <c:ptCount val="50"/>
                <c:pt idx="0">
                  <c:v>4</c:v>
                </c:pt>
                <c:pt idx="1">
                  <c:v>10</c:v>
                </c:pt>
                <c:pt idx="2">
                  <c:v>9</c:v>
                </c:pt>
                <c:pt idx="3">
                  <c:v>6</c:v>
                </c:pt>
                <c:pt idx="4">
                  <c:v>9</c:v>
                </c:pt>
                <c:pt idx="5">
                  <c:v>8</c:v>
                </c:pt>
                <c:pt idx="6">
                  <c:v>1</c:v>
                </c:pt>
                <c:pt idx="7">
                  <c:v>3</c:v>
                </c:pt>
                <c:pt idx="8">
                  <c:v>4</c:v>
                </c:pt>
                <c:pt idx="9">
                  <c:v>4</c:v>
                </c:pt>
                <c:pt idx="10">
                  <c:v>9</c:v>
                </c:pt>
                <c:pt idx="11">
                  <c:v>10</c:v>
                </c:pt>
                <c:pt idx="12">
                  <c:v>5</c:v>
                </c:pt>
                <c:pt idx="13">
                  <c:v>5</c:v>
                </c:pt>
                <c:pt idx="14">
                  <c:v>7</c:v>
                </c:pt>
                <c:pt idx="15">
                  <c:v>7</c:v>
                </c:pt>
                <c:pt idx="16">
                  <c:v>4</c:v>
                </c:pt>
                <c:pt idx="17">
                  <c:v>6</c:v>
                </c:pt>
                <c:pt idx="18">
                  <c:v>1</c:v>
                </c:pt>
                <c:pt idx="19">
                  <c:v>3</c:v>
                </c:pt>
                <c:pt idx="20">
                  <c:v>1</c:v>
                </c:pt>
                <c:pt idx="21">
                  <c:v>5</c:v>
                </c:pt>
                <c:pt idx="22">
                  <c:v>5</c:v>
                </c:pt>
                <c:pt idx="23">
                  <c:v>4</c:v>
                </c:pt>
                <c:pt idx="24">
                  <c:v>7</c:v>
                </c:pt>
                <c:pt idx="25">
                  <c:v>8</c:v>
                </c:pt>
                <c:pt idx="26">
                  <c:v>7</c:v>
                </c:pt>
                <c:pt idx="27">
                  <c:v>9</c:v>
                </c:pt>
                <c:pt idx="28">
                  <c:v>1</c:v>
                </c:pt>
                <c:pt idx="29">
                  <c:v>2</c:v>
                </c:pt>
                <c:pt idx="30">
                  <c:v>6</c:v>
                </c:pt>
                <c:pt idx="31">
                  <c:v>2</c:v>
                </c:pt>
                <c:pt idx="32">
                  <c:v>4</c:v>
                </c:pt>
                <c:pt idx="33">
                  <c:v>8</c:v>
                </c:pt>
                <c:pt idx="34">
                  <c:v>5</c:v>
                </c:pt>
                <c:pt idx="35">
                  <c:v>6</c:v>
                </c:pt>
                <c:pt idx="36">
                  <c:v>10</c:v>
                </c:pt>
                <c:pt idx="37">
                  <c:v>3</c:v>
                </c:pt>
                <c:pt idx="38">
                  <c:v>1</c:v>
                </c:pt>
                <c:pt idx="39">
                  <c:v>4</c:v>
                </c:pt>
                <c:pt idx="40">
                  <c:v>8</c:v>
                </c:pt>
                <c:pt idx="41">
                  <c:v>4</c:v>
                </c:pt>
                <c:pt idx="42">
                  <c:v>6</c:v>
                </c:pt>
                <c:pt idx="43">
                  <c:v>8</c:v>
                </c:pt>
                <c:pt idx="44">
                  <c:v>1</c:v>
                </c:pt>
                <c:pt idx="45">
                  <c:v>3</c:v>
                </c:pt>
                <c:pt idx="46">
                  <c:v>10</c:v>
                </c:pt>
                <c:pt idx="47">
                  <c:v>3</c:v>
                </c:pt>
                <c:pt idx="48">
                  <c:v>5</c:v>
                </c:pt>
                <c:pt idx="49">
                  <c:v>8</c:v>
                </c:pt>
              </c:numCache>
            </c:numRef>
          </c:xVal>
          <c:yVal>
            <c:numRef>
              <c:f>'By EPA Region'!$B$4:$AY$4</c:f>
              <c:numCache>
                <c:formatCode>0.00</c:formatCode>
                <c:ptCount val="50"/>
                <c:pt idx="0">
                  <c:v>1.152859202886874</c:v>
                </c:pt>
                <c:pt idx="1">
                  <c:v>0.81532536038352488</c:v>
                </c:pt>
                <c:pt idx="2">
                  <c:v>0.9655716001060396</c:v>
                </c:pt>
                <c:pt idx="3">
                  <c:v>0.92116611516050151</c:v>
                </c:pt>
                <c:pt idx="4">
                  <c:v>1.0834698976532768</c:v>
                </c:pt>
                <c:pt idx="5">
                  <c:v>1.06174000432117</c:v>
                </c:pt>
                <c:pt idx="6">
                  <c:v>0.74297526152911952</c:v>
                </c:pt>
                <c:pt idx="7">
                  <c:v>0.99596615298203506</c:v>
                </c:pt>
                <c:pt idx="8">
                  <c:v>1.0131737469150071</c:v>
                </c:pt>
                <c:pt idx="9">
                  <c:v>0.86357985132149606</c:v>
                </c:pt>
                <c:pt idx="10">
                  <c:v>1.0644563972076178</c:v>
                </c:pt>
                <c:pt idx="11">
                  <c:v>0.6989816962069918</c:v>
                </c:pt>
                <c:pt idx="12">
                  <c:v>0.94093504700576325</c:v>
                </c:pt>
                <c:pt idx="13">
                  <c:v>0.74901108684009565</c:v>
                </c:pt>
                <c:pt idx="14">
                  <c:v>0.87580076802999063</c:v>
                </c:pt>
                <c:pt idx="15">
                  <c:v>0.92158007523535856</c:v>
                </c:pt>
                <c:pt idx="16">
                  <c:v>1.0208297418796315</c:v>
                </c:pt>
                <c:pt idx="17">
                  <c:v>1.0803443243487829</c:v>
                </c:pt>
                <c:pt idx="18">
                  <c:v>0.49938488035923401</c:v>
                </c:pt>
                <c:pt idx="19">
                  <c:v>0.89010780615789964</c:v>
                </c:pt>
                <c:pt idx="20">
                  <c:v>1.4218178608473264</c:v>
                </c:pt>
                <c:pt idx="21">
                  <c:v>0.76843718679457862</c:v>
                </c:pt>
                <c:pt idx="22">
                  <c:v>0.79952751511370268</c:v>
                </c:pt>
                <c:pt idx="23">
                  <c:v>1.0522392419684108</c:v>
                </c:pt>
                <c:pt idx="24">
                  <c:v>0.86470481967995594</c:v>
                </c:pt>
                <c:pt idx="25">
                  <c:v>0.71624149249409519</c:v>
                </c:pt>
                <c:pt idx="26">
                  <c:v>0.8079707395630078</c:v>
                </c:pt>
                <c:pt idx="27">
                  <c:v>0.93718277483989254</c:v>
                </c:pt>
                <c:pt idx="28">
                  <c:v>0.64722784527543764</c:v>
                </c:pt>
                <c:pt idx="29">
                  <c:v>1.0216206617518409</c:v>
                </c:pt>
                <c:pt idx="30">
                  <c:v>0.86794729094803014</c:v>
                </c:pt>
                <c:pt idx="31">
                  <c:v>0.92262665442222369</c:v>
                </c:pt>
                <c:pt idx="32">
                  <c:v>0.78843379333062258</c:v>
                </c:pt>
                <c:pt idx="33">
                  <c:v>0.84153690237533352</c:v>
                </c:pt>
                <c:pt idx="34">
                  <c:v>0.91334542652263762</c:v>
                </c:pt>
                <c:pt idx="35">
                  <c:v>0.93968018121152252</c:v>
                </c:pt>
                <c:pt idx="36">
                  <c:v>0.84185312811963608</c:v>
                </c:pt>
                <c:pt idx="37">
                  <c:v>0.84606253442801493</c:v>
                </c:pt>
                <c:pt idx="38">
                  <c:v>0.94259448261876411</c:v>
                </c:pt>
                <c:pt idx="39">
                  <c:v>0.82667642421666054</c:v>
                </c:pt>
                <c:pt idx="40">
                  <c:v>0.87217249905765148</c:v>
                </c:pt>
                <c:pt idx="41">
                  <c:v>0.97612679048679263</c:v>
                </c:pt>
                <c:pt idx="42">
                  <c:v>0.99482646677761666</c:v>
                </c:pt>
                <c:pt idx="43">
                  <c:v>0.97694643897985178</c:v>
                </c:pt>
                <c:pt idx="44">
                  <c:v>0.71258231707800745</c:v>
                </c:pt>
                <c:pt idx="45">
                  <c:v>0.81736163019039265</c:v>
                </c:pt>
                <c:pt idx="46">
                  <c:v>0.95009468607446468</c:v>
                </c:pt>
                <c:pt idx="47">
                  <c:v>0.80940469885445598</c:v>
                </c:pt>
                <c:pt idx="48">
                  <c:v>0.70115913187077394</c:v>
                </c:pt>
                <c:pt idx="49">
                  <c:v>0.79149920816470265</c:v>
                </c:pt>
              </c:numCache>
            </c:numRef>
          </c:yVal>
        </c:ser>
        <c:axId val="35650944"/>
        <c:axId val="36664448"/>
      </c:scatterChart>
      <c:valAx>
        <c:axId val="35650944"/>
        <c:scaling>
          <c:orientation val="minMax"/>
        </c:scaling>
        <c:axPos val="b"/>
        <c:numFmt formatCode="0" sourceLinked="1"/>
        <c:tickLblPos val="nextTo"/>
        <c:crossAx val="36664448"/>
        <c:crosses val="autoZero"/>
        <c:crossBetween val="midCat"/>
      </c:valAx>
      <c:valAx>
        <c:axId val="36664448"/>
        <c:scaling>
          <c:orientation val="minMax"/>
        </c:scaling>
        <c:axPos val="l"/>
        <c:majorGridlines/>
        <c:numFmt formatCode="0.00" sourceLinked="1"/>
        <c:tickLblPos val="nextTo"/>
        <c:crossAx val="35650944"/>
        <c:crosses val="autoZero"/>
        <c:crossBetween val="midCat"/>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Ratio Population Served by CWS Serving Under 10,000 People to Total CWS Population Served (sums)</a:t>
            </a:r>
          </a:p>
        </c:rich>
      </c:tx>
    </c:title>
    <c:plotArea>
      <c:layout/>
      <c:scatterChart>
        <c:scatterStyle val="lineMarker"/>
        <c:ser>
          <c:idx val="0"/>
          <c:order val="0"/>
          <c:tx>
            <c:strRef>
              <c:f>'EPA Regions'!$A$8</c:f>
              <c:strCache>
                <c:ptCount val="1"/>
                <c:pt idx="0">
                  <c:v>ratio pop under 10000 to total (sums)_</c:v>
                </c:pt>
              </c:strCache>
            </c:strRef>
          </c:tx>
          <c:spPr>
            <a:ln w="28575">
              <a:noFill/>
            </a:ln>
          </c:spPr>
          <c:xVal>
            <c:numRef>
              <c:f>'EPA Regions'!$B$7:$AY$7</c:f>
              <c:numCache>
                <c:formatCode>0</c:formatCode>
                <c:ptCount val="50"/>
                <c:pt idx="0">
                  <c:v>1</c:v>
                </c:pt>
                <c:pt idx="1">
                  <c:v>1</c:v>
                </c:pt>
                <c:pt idx="2">
                  <c:v>1</c:v>
                </c:pt>
                <c:pt idx="3">
                  <c:v>1</c:v>
                </c:pt>
                <c:pt idx="4">
                  <c:v>1</c:v>
                </c:pt>
                <c:pt idx="5">
                  <c:v>2</c:v>
                </c:pt>
                <c:pt idx="6">
                  <c:v>2</c:v>
                </c:pt>
                <c:pt idx="7">
                  <c:v>2</c:v>
                </c:pt>
                <c:pt idx="8">
                  <c:v>3</c:v>
                </c:pt>
                <c:pt idx="9">
                  <c:v>3</c:v>
                </c:pt>
                <c:pt idx="10">
                  <c:v>3</c:v>
                </c:pt>
                <c:pt idx="11">
                  <c:v>3</c:v>
                </c:pt>
                <c:pt idx="12">
                  <c:v>3</c:v>
                </c:pt>
                <c:pt idx="13">
                  <c:v>4</c:v>
                </c:pt>
                <c:pt idx="14">
                  <c:v>4</c:v>
                </c:pt>
                <c:pt idx="15">
                  <c:v>4</c:v>
                </c:pt>
                <c:pt idx="16">
                  <c:v>4</c:v>
                </c:pt>
                <c:pt idx="17">
                  <c:v>4</c:v>
                </c:pt>
                <c:pt idx="18">
                  <c:v>4</c:v>
                </c:pt>
                <c:pt idx="19">
                  <c:v>4</c:v>
                </c:pt>
                <c:pt idx="20">
                  <c:v>4</c:v>
                </c:pt>
                <c:pt idx="21">
                  <c:v>5</c:v>
                </c:pt>
                <c:pt idx="22">
                  <c:v>5</c:v>
                </c:pt>
                <c:pt idx="23">
                  <c:v>5</c:v>
                </c:pt>
                <c:pt idx="24">
                  <c:v>5</c:v>
                </c:pt>
                <c:pt idx="25">
                  <c:v>5</c:v>
                </c:pt>
                <c:pt idx="26">
                  <c:v>5</c:v>
                </c:pt>
                <c:pt idx="27">
                  <c:v>6</c:v>
                </c:pt>
                <c:pt idx="28">
                  <c:v>6</c:v>
                </c:pt>
                <c:pt idx="29">
                  <c:v>6</c:v>
                </c:pt>
                <c:pt idx="30">
                  <c:v>6</c:v>
                </c:pt>
                <c:pt idx="31">
                  <c:v>7</c:v>
                </c:pt>
                <c:pt idx="32">
                  <c:v>7</c:v>
                </c:pt>
                <c:pt idx="33">
                  <c:v>7</c:v>
                </c:pt>
                <c:pt idx="34">
                  <c:v>7</c:v>
                </c:pt>
                <c:pt idx="35">
                  <c:v>7</c:v>
                </c:pt>
                <c:pt idx="36">
                  <c:v>8</c:v>
                </c:pt>
                <c:pt idx="37">
                  <c:v>8</c:v>
                </c:pt>
                <c:pt idx="38">
                  <c:v>8</c:v>
                </c:pt>
                <c:pt idx="39">
                  <c:v>8</c:v>
                </c:pt>
                <c:pt idx="40">
                  <c:v>8</c:v>
                </c:pt>
                <c:pt idx="41">
                  <c:v>8</c:v>
                </c:pt>
                <c:pt idx="42">
                  <c:v>9</c:v>
                </c:pt>
                <c:pt idx="43">
                  <c:v>9</c:v>
                </c:pt>
                <c:pt idx="44">
                  <c:v>9</c:v>
                </c:pt>
                <c:pt idx="45">
                  <c:v>9</c:v>
                </c:pt>
                <c:pt idx="46">
                  <c:v>10</c:v>
                </c:pt>
                <c:pt idx="47">
                  <c:v>10</c:v>
                </c:pt>
                <c:pt idx="48">
                  <c:v>10</c:v>
                </c:pt>
                <c:pt idx="49">
                  <c:v>10</c:v>
                </c:pt>
              </c:numCache>
            </c:numRef>
          </c:xVal>
          <c:yVal>
            <c:numRef>
              <c:f>'EPA Regions'!$B$8:$AY$8</c:f>
              <c:numCache>
                <c:formatCode>#,##0.00</c:formatCode>
                <c:ptCount val="50"/>
                <c:pt idx="0">
                  <c:v>0.11255548068984488</c:v>
                </c:pt>
                <c:pt idx="1">
                  <c:v>0.42623667414231581</c:v>
                </c:pt>
                <c:pt idx="2">
                  <c:v>6.891007341459969E-2</c:v>
                </c:pt>
                <c:pt idx="3">
                  <c:v>9.8867966260167278E-2</c:v>
                </c:pt>
                <c:pt idx="4">
                  <c:v>0.71444919150338571</c:v>
                </c:pt>
                <c:pt idx="5">
                  <c:v>0.3678297999710059</c:v>
                </c:pt>
                <c:pt idx="6">
                  <c:v>8.7033510503810599E-2</c:v>
                </c:pt>
                <c:pt idx="7">
                  <c:v>0.11949794800122319</c:v>
                </c:pt>
                <c:pt idx="8">
                  <c:v>0.18652806430365018</c:v>
                </c:pt>
                <c:pt idx="9">
                  <c:v>7.5825127031056191E-2</c:v>
                </c:pt>
                <c:pt idx="10">
                  <c:v>0.18818953149307921</c:v>
                </c:pt>
                <c:pt idx="11">
                  <c:v>0.14282854854007093</c:v>
                </c:pt>
                <c:pt idx="12">
                  <c:v>0.48020617228100182</c:v>
                </c:pt>
                <c:pt idx="13">
                  <c:v>0.25300632345595092</c:v>
                </c:pt>
                <c:pt idx="14">
                  <c:v>8.4239145050694728E-2</c:v>
                </c:pt>
                <c:pt idx="15">
                  <c:v>0.15207338108428894</c:v>
                </c:pt>
                <c:pt idx="16">
                  <c:v>0.22156867424955354</c:v>
                </c:pt>
                <c:pt idx="17">
                  <c:v>0.57930302975185677</c:v>
                </c:pt>
                <c:pt idx="18">
                  <c:v>0.20048515079253082</c:v>
                </c:pt>
                <c:pt idx="19">
                  <c:v>0.19862458009153497</c:v>
                </c:pt>
                <c:pt idx="20">
                  <c:v>0.18577831540507403</c:v>
                </c:pt>
                <c:pt idx="21">
                  <c:v>0.19460102014565417</c:v>
                </c:pt>
                <c:pt idx="22">
                  <c:v>0.25282082863682931</c:v>
                </c:pt>
                <c:pt idx="23">
                  <c:v>0.21034648370857811</c:v>
                </c:pt>
                <c:pt idx="24">
                  <c:v>0.2334785776412249</c:v>
                </c:pt>
                <c:pt idx="25">
                  <c:v>0.15296688482488127</c:v>
                </c:pt>
                <c:pt idx="26">
                  <c:v>0.28188581471634888</c:v>
                </c:pt>
                <c:pt idx="27">
                  <c:v>0.43285082078082415</c:v>
                </c:pt>
                <c:pt idx="28">
                  <c:v>0.32555016446649682</c:v>
                </c:pt>
                <c:pt idx="29">
                  <c:v>0.33900505542309667</c:v>
                </c:pt>
                <c:pt idx="30">
                  <c:v>0.25247410352844402</c:v>
                </c:pt>
                <c:pt idx="31">
                  <c:v>0.40919174323212221</c:v>
                </c:pt>
                <c:pt idx="32">
                  <c:v>0.31463307710990401</c:v>
                </c:pt>
                <c:pt idx="33">
                  <c:v>0.29564591583858435</c:v>
                </c:pt>
                <c:pt idx="34">
                  <c:v>0.30472933210185282</c:v>
                </c:pt>
                <c:pt idx="35">
                  <c:v>0.26439348508931698</c:v>
                </c:pt>
                <c:pt idx="36">
                  <c:v>0.15911029115802414</c:v>
                </c:pt>
                <c:pt idx="37">
                  <c:v>0.49859598282606232</c:v>
                </c:pt>
                <c:pt idx="38">
                  <c:v>0.43782425777823253</c:v>
                </c:pt>
                <c:pt idx="39">
                  <c:v>0.47204579753361331</c:v>
                </c:pt>
                <c:pt idx="40">
                  <c:v>0.1767575249668531</c:v>
                </c:pt>
                <c:pt idx="41">
                  <c:v>0.49060156644264702</c:v>
                </c:pt>
                <c:pt idx="42">
                  <c:v>0.12306455460268344</c:v>
                </c:pt>
                <c:pt idx="43">
                  <c:v>5.9371355948914233E-2</c:v>
                </c:pt>
                <c:pt idx="44">
                  <c:v>0.1050740052166208</c:v>
                </c:pt>
                <c:pt idx="45">
                  <c:v>0.14437824335143784</c:v>
                </c:pt>
                <c:pt idx="46">
                  <c:v>0.41165031379828532</c:v>
                </c:pt>
                <c:pt idx="47">
                  <c:v>0.34096560703443435</c:v>
                </c:pt>
                <c:pt idx="48">
                  <c:v>0.20159131545101941</c:v>
                </c:pt>
                <c:pt idx="49">
                  <c:v>0.19827939292493851</c:v>
                </c:pt>
              </c:numCache>
            </c:numRef>
          </c:yVal>
        </c:ser>
        <c:axId val="35447552"/>
        <c:axId val="35449472"/>
      </c:scatterChart>
      <c:valAx>
        <c:axId val="35447552"/>
        <c:scaling>
          <c:orientation val="minMax"/>
        </c:scaling>
        <c:axPos val="b"/>
        <c:title>
          <c:tx>
            <c:rich>
              <a:bodyPr/>
              <a:lstStyle/>
              <a:p>
                <a:pPr>
                  <a:defRPr/>
                </a:pPr>
                <a:r>
                  <a:rPr lang="en-US"/>
                  <a:t>Regions</a:t>
                </a:r>
              </a:p>
            </c:rich>
          </c:tx>
        </c:title>
        <c:numFmt formatCode="0" sourceLinked="1"/>
        <c:tickLblPos val="nextTo"/>
        <c:crossAx val="35449472"/>
        <c:crosses val="autoZero"/>
        <c:crossBetween val="midCat"/>
      </c:valAx>
      <c:valAx>
        <c:axId val="35449472"/>
        <c:scaling>
          <c:orientation val="minMax"/>
        </c:scaling>
        <c:axPos val="l"/>
        <c:majorGridlines/>
        <c:title>
          <c:tx>
            <c:rich>
              <a:bodyPr rot="0" vert="wordArtVert"/>
              <a:lstStyle/>
              <a:p>
                <a:pPr>
                  <a:defRPr/>
                </a:pPr>
                <a:r>
                  <a:rPr lang="en-US"/>
                  <a:t>Ratio</a:t>
                </a:r>
              </a:p>
            </c:rich>
          </c:tx>
        </c:title>
        <c:numFmt formatCode="#,##0.00" sourceLinked="1"/>
        <c:tickLblPos val="nextTo"/>
        <c:crossAx val="35447552"/>
        <c:crosses val="autoZero"/>
        <c:crossBetween val="midCat"/>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baseline="0"/>
              <a:t>Average Meters Per CWS Serving </a:t>
            </a:r>
            <a:endParaRPr lang="en-US" sz="1400"/>
          </a:p>
          <a:p>
            <a:pPr>
              <a:defRPr/>
            </a:pPr>
            <a:r>
              <a:rPr lang="en-US" sz="1400" b="1" i="0" baseline="0"/>
              <a:t>Less Than 10,000 People</a:t>
            </a:r>
            <a:endParaRPr lang="en-US" sz="1400"/>
          </a:p>
          <a:p>
            <a:pPr>
              <a:defRPr/>
            </a:pPr>
            <a:endParaRPr lang="en-US"/>
          </a:p>
        </c:rich>
      </c:tx>
    </c:title>
    <c:plotArea>
      <c:layout/>
      <c:scatterChart>
        <c:scatterStyle val="lineMarker"/>
        <c:ser>
          <c:idx val="0"/>
          <c:order val="0"/>
          <c:tx>
            <c:strRef>
              <c:f>'EPA Regions'!$A$5</c:f>
              <c:strCache>
                <c:ptCount val="1"/>
                <c:pt idx="0">
                  <c:v>average meters per CWS under 10,000</c:v>
                </c:pt>
              </c:strCache>
            </c:strRef>
          </c:tx>
          <c:spPr>
            <a:ln w="28575">
              <a:noFill/>
            </a:ln>
          </c:spPr>
          <c:xVal>
            <c:numRef>
              <c:f>'EPA Regions'!$B$4:$AY$4</c:f>
              <c:numCache>
                <c:formatCode>0</c:formatCode>
                <c:ptCount val="50"/>
                <c:pt idx="0">
                  <c:v>4</c:v>
                </c:pt>
                <c:pt idx="1">
                  <c:v>10</c:v>
                </c:pt>
                <c:pt idx="2">
                  <c:v>9</c:v>
                </c:pt>
                <c:pt idx="3">
                  <c:v>6</c:v>
                </c:pt>
                <c:pt idx="4">
                  <c:v>9</c:v>
                </c:pt>
                <c:pt idx="5">
                  <c:v>8</c:v>
                </c:pt>
                <c:pt idx="6">
                  <c:v>1</c:v>
                </c:pt>
                <c:pt idx="7">
                  <c:v>3</c:v>
                </c:pt>
                <c:pt idx="8">
                  <c:v>4</c:v>
                </c:pt>
                <c:pt idx="9">
                  <c:v>4</c:v>
                </c:pt>
                <c:pt idx="10">
                  <c:v>9</c:v>
                </c:pt>
                <c:pt idx="11">
                  <c:v>10</c:v>
                </c:pt>
                <c:pt idx="12">
                  <c:v>5</c:v>
                </c:pt>
                <c:pt idx="13">
                  <c:v>5</c:v>
                </c:pt>
                <c:pt idx="14">
                  <c:v>7</c:v>
                </c:pt>
                <c:pt idx="15">
                  <c:v>7</c:v>
                </c:pt>
                <c:pt idx="16">
                  <c:v>4</c:v>
                </c:pt>
                <c:pt idx="17">
                  <c:v>6</c:v>
                </c:pt>
                <c:pt idx="18">
                  <c:v>1</c:v>
                </c:pt>
                <c:pt idx="19">
                  <c:v>3</c:v>
                </c:pt>
                <c:pt idx="20">
                  <c:v>1</c:v>
                </c:pt>
                <c:pt idx="21">
                  <c:v>5</c:v>
                </c:pt>
                <c:pt idx="22">
                  <c:v>5</c:v>
                </c:pt>
                <c:pt idx="23">
                  <c:v>4</c:v>
                </c:pt>
                <c:pt idx="24">
                  <c:v>7</c:v>
                </c:pt>
                <c:pt idx="25">
                  <c:v>8</c:v>
                </c:pt>
                <c:pt idx="26">
                  <c:v>7</c:v>
                </c:pt>
                <c:pt idx="27">
                  <c:v>9</c:v>
                </c:pt>
                <c:pt idx="28">
                  <c:v>2</c:v>
                </c:pt>
                <c:pt idx="29">
                  <c:v>2</c:v>
                </c:pt>
                <c:pt idx="30">
                  <c:v>7</c:v>
                </c:pt>
                <c:pt idx="31">
                  <c:v>2</c:v>
                </c:pt>
                <c:pt idx="32">
                  <c:v>4</c:v>
                </c:pt>
                <c:pt idx="33">
                  <c:v>8</c:v>
                </c:pt>
                <c:pt idx="34">
                  <c:v>5</c:v>
                </c:pt>
                <c:pt idx="35">
                  <c:v>6</c:v>
                </c:pt>
                <c:pt idx="36">
                  <c:v>10</c:v>
                </c:pt>
                <c:pt idx="37">
                  <c:v>3</c:v>
                </c:pt>
                <c:pt idx="38">
                  <c:v>1</c:v>
                </c:pt>
                <c:pt idx="39">
                  <c:v>4</c:v>
                </c:pt>
                <c:pt idx="40">
                  <c:v>8</c:v>
                </c:pt>
                <c:pt idx="41">
                  <c:v>4</c:v>
                </c:pt>
                <c:pt idx="42">
                  <c:v>6</c:v>
                </c:pt>
                <c:pt idx="43">
                  <c:v>8</c:v>
                </c:pt>
                <c:pt idx="44">
                  <c:v>1</c:v>
                </c:pt>
                <c:pt idx="45">
                  <c:v>3</c:v>
                </c:pt>
                <c:pt idx="46">
                  <c:v>10</c:v>
                </c:pt>
                <c:pt idx="47">
                  <c:v>3</c:v>
                </c:pt>
                <c:pt idx="48">
                  <c:v>5</c:v>
                </c:pt>
                <c:pt idx="49">
                  <c:v>8</c:v>
                </c:pt>
              </c:numCache>
            </c:numRef>
          </c:xVal>
          <c:yVal>
            <c:numRef>
              <c:f>'EPA Regions'!$B$5:$AY$5</c:f>
              <c:numCache>
                <c:formatCode>#,##0</c:formatCode>
                <c:ptCount val="50"/>
                <c:pt idx="0">
                  <c:v>1147.7139479905438</c:v>
                </c:pt>
                <c:pt idx="1">
                  <c:v>120.80324074074076</c:v>
                </c:pt>
                <c:pt idx="2">
                  <c:v>377.75492957746479</c:v>
                </c:pt>
                <c:pt idx="3">
                  <c:v>720.31212121212116</c:v>
                </c:pt>
                <c:pt idx="4">
                  <c:v>321.07442748091631</c:v>
                </c:pt>
                <c:pt idx="5">
                  <c:v>447.71139240506329</c:v>
                </c:pt>
                <c:pt idx="6">
                  <c:v>177.37231968810977</c:v>
                </c:pt>
                <c:pt idx="7">
                  <c:v>268.72222222222223</c:v>
                </c:pt>
                <c:pt idx="8">
                  <c:v>393.36733333333467</c:v>
                </c:pt>
                <c:pt idx="9">
                  <c:v>284.71839424805074</c:v>
                </c:pt>
                <c:pt idx="10">
                  <c:v>428.02222222222224</c:v>
                </c:pt>
                <c:pt idx="11">
                  <c:v>205.84362139917613</c:v>
                </c:pt>
                <c:pt idx="12">
                  <c:v>587.90688524590166</c:v>
                </c:pt>
                <c:pt idx="13">
                  <c:v>650.60082304526759</c:v>
                </c:pt>
                <c:pt idx="14">
                  <c:v>430.1883656509695</c:v>
                </c:pt>
                <c:pt idx="15">
                  <c:v>462.80957943925233</c:v>
                </c:pt>
                <c:pt idx="16">
                  <c:v>1121.4197952218431</c:v>
                </c:pt>
                <c:pt idx="17">
                  <c:v>527.51068158697842</c:v>
                </c:pt>
                <c:pt idx="18">
                  <c:v>304.63287671232877</c:v>
                </c:pt>
                <c:pt idx="19">
                  <c:v>305.47963800904967</c:v>
                </c:pt>
                <c:pt idx="20">
                  <c:v>625.47021943573395</c:v>
                </c:pt>
                <c:pt idx="21">
                  <c:v>476.56780333068991</c:v>
                </c:pt>
                <c:pt idx="22">
                  <c:v>731.24124513618801</c:v>
                </c:pt>
                <c:pt idx="23">
                  <c:v>611.95648060548717</c:v>
                </c:pt>
                <c:pt idx="24">
                  <c:v>501.33948863636562</c:v>
                </c:pt>
                <c:pt idx="25">
                  <c:v>197.93411420204978</c:v>
                </c:pt>
                <c:pt idx="26">
                  <c:v>352.4480968858133</c:v>
                </c:pt>
                <c:pt idx="27">
                  <c:v>657.50970873786696</c:v>
                </c:pt>
                <c:pt idx="28">
                  <c:v>166.22318840579709</c:v>
                </c:pt>
                <c:pt idx="29">
                  <c:v>562.85714285714289</c:v>
                </c:pt>
                <c:pt idx="30">
                  <c:v>291.64855687606132</c:v>
                </c:pt>
                <c:pt idx="31">
                  <c:v>285.47444952222685</c:v>
                </c:pt>
                <c:pt idx="32">
                  <c:v>322.77777777777669</c:v>
                </c:pt>
                <c:pt idx="33">
                  <c:v>314.07975460122697</c:v>
                </c:pt>
                <c:pt idx="34">
                  <c:v>576.81249999999739</c:v>
                </c:pt>
                <c:pt idx="35">
                  <c:v>485.82194417709326</c:v>
                </c:pt>
                <c:pt idx="36">
                  <c:v>325.66503667481732</c:v>
                </c:pt>
                <c:pt idx="37">
                  <c:v>373.60426417056908</c:v>
                </c:pt>
                <c:pt idx="38">
                  <c:v>386.42465753424671</c:v>
                </c:pt>
                <c:pt idx="39">
                  <c:v>611.21052631578948</c:v>
                </c:pt>
                <c:pt idx="40">
                  <c:v>324.81489841986604</c:v>
                </c:pt>
                <c:pt idx="41">
                  <c:v>1274.8083333333298</c:v>
                </c:pt>
                <c:pt idx="42">
                  <c:v>1063.8501923512106</c:v>
                </c:pt>
                <c:pt idx="43">
                  <c:v>452.71186440677963</c:v>
                </c:pt>
                <c:pt idx="44">
                  <c:v>283.38990825688069</c:v>
                </c:pt>
                <c:pt idx="45">
                  <c:v>301.95294117647057</c:v>
                </c:pt>
                <c:pt idx="46">
                  <c:v>227.89948574100038</c:v>
                </c:pt>
                <c:pt idx="47">
                  <c:v>648.90170940170799</c:v>
                </c:pt>
                <c:pt idx="48">
                  <c:v>425.37134207870827</c:v>
                </c:pt>
              </c:numCache>
            </c:numRef>
          </c:yVal>
        </c:ser>
        <c:axId val="36686464"/>
        <c:axId val="36725120"/>
      </c:scatterChart>
      <c:valAx>
        <c:axId val="36686464"/>
        <c:scaling>
          <c:orientation val="minMax"/>
        </c:scaling>
        <c:axPos val="b"/>
        <c:numFmt formatCode="0" sourceLinked="1"/>
        <c:tickLblPos val="nextTo"/>
        <c:crossAx val="36725120"/>
        <c:crosses val="autoZero"/>
        <c:crossBetween val="midCat"/>
      </c:valAx>
      <c:valAx>
        <c:axId val="36725120"/>
        <c:scaling>
          <c:orientation val="minMax"/>
        </c:scaling>
        <c:axPos val="l"/>
        <c:majorGridlines/>
        <c:numFmt formatCode="#,##0" sourceLinked="1"/>
        <c:tickLblPos val="nextTo"/>
        <c:crossAx val="36686464"/>
        <c:crosses val="autoZero"/>
        <c:crossBetween val="midCat"/>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strRef>
              <c:f>'EPA Regions'!$A$13</c:f>
              <c:strCache>
                <c:ptCount val="1"/>
                <c:pt idx="0">
                  <c:v>Total NTNCs</c:v>
                </c:pt>
              </c:strCache>
            </c:strRef>
          </c:tx>
          <c:spPr>
            <a:ln w="28575">
              <a:noFill/>
            </a:ln>
          </c:spPr>
          <c:yVal>
            <c:numRef>
              <c:f>'EPA Regions'!$B$13:$AY$13</c:f>
              <c:numCache>
                <c:formatCode>#,##0</c:formatCode>
                <c:ptCount val="50"/>
                <c:pt idx="0">
                  <c:v>589</c:v>
                </c:pt>
                <c:pt idx="1">
                  <c:v>355</c:v>
                </c:pt>
                <c:pt idx="2">
                  <c:v>271</c:v>
                </c:pt>
                <c:pt idx="3">
                  <c:v>80</c:v>
                </c:pt>
                <c:pt idx="4">
                  <c:v>242</c:v>
                </c:pt>
                <c:pt idx="5">
                  <c:v>442</c:v>
                </c:pt>
                <c:pt idx="6">
                  <c:v>805</c:v>
                </c:pt>
                <c:pt idx="7">
                  <c:v>748</c:v>
                </c:pt>
                <c:pt idx="8">
                  <c:v>82</c:v>
                </c:pt>
                <c:pt idx="9">
                  <c:v>557</c:v>
                </c:pt>
                <c:pt idx="10">
                  <c:v>1224</c:v>
                </c:pt>
                <c:pt idx="11">
                  <c:v>560</c:v>
                </c:pt>
                <c:pt idx="12">
                  <c:v>125</c:v>
                </c:pt>
                <c:pt idx="13">
                  <c:v>22</c:v>
                </c:pt>
                <c:pt idx="14">
                  <c:v>879</c:v>
                </c:pt>
                <c:pt idx="15">
                  <c:v>194</c:v>
                </c:pt>
                <c:pt idx="16">
                  <c:v>24</c:v>
                </c:pt>
                <c:pt idx="17">
                  <c:v>84</c:v>
                </c:pt>
                <c:pt idx="18">
                  <c:v>419</c:v>
                </c:pt>
                <c:pt idx="19">
                  <c:v>126</c:v>
                </c:pt>
                <c:pt idx="20">
                  <c:v>44</c:v>
                </c:pt>
                <c:pt idx="21">
                  <c:v>406</c:v>
                </c:pt>
                <c:pt idx="22">
                  <c:v>581</c:v>
                </c:pt>
                <c:pt idx="23">
                  <c:v>1373</c:v>
                </c:pt>
                <c:pt idx="24">
                  <c:v>514</c:v>
                </c:pt>
                <c:pt idx="25">
                  <c:v>747</c:v>
                </c:pt>
                <c:pt idx="26">
                  <c:v>862</c:v>
                </c:pt>
                <c:pt idx="27">
                  <c:v>34</c:v>
                </c:pt>
                <c:pt idx="28">
                  <c:v>146</c:v>
                </c:pt>
                <c:pt idx="29">
                  <c:v>105</c:v>
                </c:pt>
                <c:pt idx="30">
                  <c:v>877</c:v>
                </c:pt>
                <c:pt idx="31">
                  <c:v>137</c:v>
                </c:pt>
                <c:pt idx="32">
                  <c:v>45</c:v>
                </c:pt>
                <c:pt idx="33">
                  <c:v>244</c:v>
                </c:pt>
                <c:pt idx="34">
                  <c:v>164</c:v>
                </c:pt>
                <c:pt idx="35">
                  <c:v>151</c:v>
                </c:pt>
                <c:pt idx="36">
                  <c:v>173</c:v>
                </c:pt>
                <c:pt idx="37">
                  <c:v>256</c:v>
                </c:pt>
                <c:pt idx="38">
                  <c:v>22</c:v>
                </c:pt>
                <c:pt idx="39">
                  <c:v>26</c:v>
                </c:pt>
                <c:pt idx="40">
                  <c:v>65</c:v>
                </c:pt>
                <c:pt idx="41">
                  <c:v>90</c:v>
                </c:pt>
                <c:pt idx="42">
                  <c:v>214</c:v>
                </c:pt>
                <c:pt idx="43">
                  <c:v>1499</c:v>
                </c:pt>
                <c:pt idx="44">
                  <c:v>14</c:v>
                </c:pt>
                <c:pt idx="45">
                  <c:v>105</c:v>
                </c:pt>
                <c:pt idx="46">
                  <c:v>246</c:v>
                </c:pt>
                <c:pt idx="47">
                  <c:v>225</c:v>
                </c:pt>
                <c:pt idx="48">
                  <c:v>336</c:v>
                </c:pt>
                <c:pt idx="49">
                  <c:v>326</c:v>
                </c:pt>
              </c:numCache>
            </c:numRef>
          </c:yVal>
        </c:ser>
        <c:axId val="35442688"/>
        <c:axId val="35444608"/>
      </c:scatterChart>
      <c:valAx>
        <c:axId val="35442688"/>
        <c:scaling>
          <c:orientation val="minMax"/>
        </c:scaling>
        <c:axPos val="b"/>
        <c:title>
          <c:tx>
            <c:rich>
              <a:bodyPr/>
              <a:lstStyle/>
              <a:p>
                <a:pPr>
                  <a:defRPr/>
                </a:pPr>
                <a:r>
                  <a:rPr lang="en-US"/>
                  <a:t>States</a:t>
                </a:r>
              </a:p>
            </c:rich>
          </c:tx>
        </c:title>
        <c:tickLblPos val="nextTo"/>
        <c:crossAx val="35444608"/>
        <c:crosses val="autoZero"/>
        <c:crossBetween val="midCat"/>
      </c:valAx>
      <c:valAx>
        <c:axId val="35444608"/>
        <c:scaling>
          <c:orientation val="minMax"/>
        </c:scaling>
        <c:axPos val="l"/>
        <c:majorGridlines/>
        <c:title>
          <c:tx>
            <c:rich>
              <a:bodyPr rot="0" vert="wordArtVert"/>
              <a:lstStyle/>
              <a:p>
                <a:pPr>
                  <a:defRPr/>
                </a:pPr>
                <a:r>
                  <a:rPr lang="en-US" sz="800"/>
                  <a:t>Systems</a:t>
                </a:r>
              </a:p>
            </c:rich>
          </c:tx>
          <c:layout>
            <c:manualLayout>
              <c:xMode val="edge"/>
              <c:yMode val="edge"/>
              <c:x val="3.6070236243661805E-2"/>
              <c:y val="0.20413042324649674"/>
            </c:manualLayout>
          </c:layout>
        </c:title>
        <c:numFmt formatCode="#,##0" sourceLinked="1"/>
        <c:tickLblPos val="nextTo"/>
        <c:crossAx val="35442688"/>
        <c:crosses val="autoZero"/>
        <c:crossBetween val="midCat"/>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0.03756</cdr:x>
      <cdr:y>0.42686</cdr:y>
    </cdr:from>
    <cdr:to>
      <cdr:x>0.07785</cdr:x>
      <cdr:y>0.77938</cdr:y>
    </cdr:to>
    <cdr:sp macro="" textlink="">
      <cdr:nvSpPr>
        <cdr:cNvPr id="2" name="TextBox 1"/>
        <cdr:cNvSpPr txBox="1"/>
      </cdr:nvSpPr>
      <cdr:spPr>
        <a:xfrm xmlns:a="http://schemas.openxmlformats.org/drawingml/2006/main">
          <a:off x="171724" y="1170958"/>
          <a:ext cx="184196" cy="96702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0.02749</cdr:x>
      <cdr:y>0.35252</cdr:y>
    </cdr:from>
    <cdr:to>
      <cdr:x>0.07785</cdr:x>
      <cdr:y>0.83453</cdr:y>
    </cdr:to>
    <cdr:sp macro="" textlink="">
      <cdr:nvSpPr>
        <cdr:cNvPr id="3" name="TextBox 2"/>
        <cdr:cNvSpPr txBox="1"/>
      </cdr:nvSpPr>
      <cdr:spPr>
        <a:xfrm xmlns:a="http://schemas.openxmlformats.org/drawingml/2006/main">
          <a:off x="125675" y="967027"/>
          <a:ext cx="230245" cy="1322262"/>
        </a:xfrm>
        <a:prstGeom xmlns:a="http://schemas.openxmlformats.org/drawingml/2006/main" prst="rect">
          <a:avLst/>
        </a:prstGeom>
      </cdr:spPr>
      <cdr:txBody>
        <a:bodyPr xmlns:a="http://schemas.openxmlformats.org/drawingml/2006/main" vertOverflow="clip" vert="vert270" wrap="square" rtlCol="0" anchor="ctr" anchorCtr="0"/>
        <a:lstStyle xmlns:a="http://schemas.openxmlformats.org/drawingml/2006/main"/>
        <a:p xmlns:a="http://schemas.openxmlformats.org/drawingml/2006/main">
          <a:endParaRPr lang="en-US" sz="1100"/>
        </a:p>
      </cdr:txBody>
    </cdr:sp>
  </cdr:relSizeAnchor>
  <cdr:relSizeAnchor xmlns:cdr="http://schemas.openxmlformats.org/drawingml/2006/chartDrawing">
    <cdr:from>
      <cdr:x>0.02461</cdr:x>
      <cdr:y>0.50839</cdr:y>
    </cdr:from>
    <cdr:to>
      <cdr:x>0.0836</cdr:x>
      <cdr:y>0.79376</cdr:y>
    </cdr:to>
    <cdr:sp macro="" textlink="">
      <cdr:nvSpPr>
        <cdr:cNvPr id="4" name="TextBox 3"/>
        <cdr:cNvSpPr txBox="1"/>
      </cdr:nvSpPr>
      <cdr:spPr>
        <a:xfrm xmlns:a="http://schemas.openxmlformats.org/drawingml/2006/main">
          <a:off x="112518" y="1394624"/>
          <a:ext cx="269716" cy="7828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0.01166</cdr:x>
      <cdr:y>0.45084</cdr:y>
    </cdr:from>
    <cdr:to>
      <cdr:x>0.05051</cdr:x>
      <cdr:y>0.77218</cdr:y>
    </cdr:to>
    <cdr:sp macro="" textlink="">
      <cdr:nvSpPr>
        <cdr:cNvPr id="5" name="TextBox 4"/>
        <cdr:cNvSpPr txBox="1"/>
      </cdr:nvSpPr>
      <cdr:spPr>
        <a:xfrm xmlns:a="http://schemas.openxmlformats.org/drawingml/2006/main">
          <a:off x="53312" y="1236742"/>
          <a:ext cx="177617" cy="8815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Ratios</a:t>
          </a:r>
        </a:p>
      </cdr:txBody>
    </cdr:sp>
  </cdr:relSizeAnchor>
  <cdr:relSizeAnchor xmlns:cdr="http://schemas.openxmlformats.org/drawingml/2006/chartDrawing">
    <cdr:from>
      <cdr:x>0.27497</cdr:x>
      <cdr:y>0.91607</cdr:y>
    </cdr:from>
    <cdr:to>
      <cdr:x>0.48073</cdr:x>
      <cdr:y>1</cdr:y>
    </cdr:to>
    <cdr:sp macro="" textlink="">
      <cdr:nvSpPr>
        <cdr:cNvPr id="6" name="TextBox 5"/>
        <cdr:cNvSpPr txBox="1"/>
      </cdr:nvSpPr>
      <cdr:spPr>
        <a:xfrm xmlns:a="http://schemas.openxmlformats.org/drawingml/2006/main">
          <a:off x="1257163" y="2512956"/>
          <a:ext cx="940713" cy="2302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States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Regnier</dc:creator>
  <cp:lastModifiedBy>John Regnier</cp:lastModifiedBy>
  <cp:revision>3</cp:revision>
  <cp:lastPrinted>2011-06-28T00:18:00Z</cp:lastPrinted>
  <dcterms:created xsi:type="dcterms:W3CDTF">2011-11-29T01:22:00Z</dcterms:created>
  <dcterms:modified xsi:type="dcterms:W3CDTF">2011-11-29T01:36:00Z</dcterms:modified>
</cp:coreProperties>
</file>